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BB36C">
      <w:pPr>
        <w:spacing w:line="1200" w:lineRule="auto"/>
        <w:jc w:val="center"/>
      </w:pPr>
    </w:p>
    <w:p w14:paraId="29C52F88">
      <w:pPr>
        <w:spacing w:line="1200" w:lineRule="auto"/>
        <w:jc w:val="center"/>
      </w:pPr>
    </w:p>
    <w:p w14:paraId="3D27A9C5">
      <w:pPr>
        <w:spacing w:line="1200" w:lineRule="auto"/>
        <w:jc w:val="center"/>
      </w:pPr>
    </w:p>
    <w:p w14:paraId="51E2D179">
      <w:pPr>
        <w:spacing w:line="1000" w:lineRule="exact"/>
        <w:jc w:val="center"/>
      </w:pPr>
      <w:r>
        <w:rPr>
          <w:rFonts w:ascii="黑体" w:hAnsi="黑体" w:eastAsia="黑体" w:cs="黑体"/>
          <w:color w:val="000000"/>
          <w:sz w:val="72"/>
        </w:rPr>
        <w:t>百色起义纪念碑园</w:t>
      </w:r>
    </w:p>
    <w:p w14:paraId="611A17BD">
      <w:pPr>
        <w:spacing w:line="1000" w:lineRule="exact"/>
        <w:jc w:val="center"/>
      </w:pPr>
      <w:r>
        <w:rPr>
          <w:rFonts w:ascii="黑体" w:hAnsi="黑体" w:eastAsia="黑体" w:cs="黑体"/>
          <w:color w:val="000000"/>
          <w:sz w:val="72"/>
        </w:rPr>
        <w:t>2025年度部门决算</w:t>
      </w:r>
    </w:p>
    <w:p w14:paraId="5FC503DB">
      <w:pPr>
        <w:pageBreakBefore/>
        <w:spacing w:line="800" w:lineRule="exact"/>
        <w:jc w:val="center"/>
      </w:pPr>
      <w:r>
        <w:rPr>
          <w:rFonts w:ascii="方正小标宋_GBK" w:hAnsi="方正小标宋_GBK" w:eastAsia="方正小标宋_GBK" w:cs="方正小标宋_GBK"/>
          <w:color w:val="000000"/>
          <w:sz w:val="44"/>
        </w:rPr>
        <w:t>目   录</w:t>
      </w:r>
    </w:p>
    <w:p w14:paraId="61C2EA59">
      <w:pPr>
        <w:spacing w:line="800" w:lineRule="exact"/>
        <w:jc w:val="center"/>
      </w:pPr>
    </w:p>
    <w:p w14:paraId="0DB87635">
      <w:pPr>
        <w:spacing w:line="560" w:lineRule="exact"/>
        <w:ind w:firstLine="364" w:firstLineChars="114"/>
        <w:jc w:val="left"/>
      </w:pPr>
      <w:r>
        <w:rPr>
          <w:rFonts w:ascii="黑体" w:hAnsi="黑体" w:eastAsia="黑体" w:cs="黑体"/>
          <w:color w:val="000000"/>
          <w:sz w:val="32"/>
        </w:rPr>
        <w:t>第一部分：百色起义纪念碑园概况</w:t>
      </w:r>
    </w:p>
    <w:p w14:paraId="0B33EB85">
      <w:pPr>
        <w:spacing w:line="560" w:lineRule="exact"/>
        <w:ind w:firstLine="364" w:firstLineChars="114"/>
        <w:jc w:val="left"/>
      </w:pPr>
      <w:r>
        <w:rPr>
          <w:rFonts w:ascii="仿宋_GB2312" w:hAnsi="仿宋_GB2312" w:eastAsia="仿宋_GB2312" w:cs="仿宋_GB2312"/>
          <w:color w:val="000000"/>
          <w:sz w:val="32"/>
        </w:rPr>
        <w:t>一、本部门职责</w:t>
      </w:r>
    </w:p>
    <w:p w14:paraId="54F85596">
      <w:pPr>
        <w:spacing w:line="560" w:lineRule="exact"/>
        <w:ind w:firstLine="364" w:firstLineChars="114"/>
        <w:jc w:val="left"/>
      </w:pPr>
      <w:r>
        <w:rPr>
          <w:rFonts w:ascii="仿宋_GB2312" w:hAnsi="仿宋_GB2312" w:eastAsia="仿宋_GB2312" w:cs="仿宋_GB2312"/>
          <w:color w:val="000000"/>
          <w:sz w:val="32"/>
        </w:rPr>
        <w:t>二、机构设置情况</w:t>
      </w:r>
    </w:p>
    <w:p w14:paraId="41210586">
      <w:pPr>
        <w:spacing w:line="560" w:lineRule="exact"/>
        <w:ind w:firstLine="364" w:firstLineChars="114"/>
        <w:jc w:val="left"/>
      </w:pPr>
      <w:r>
        <w:rPr>
          <w:rFonts w:ascii="黑体" w:hAnsi="黑体" w:eastAsia="黑体" w:cs="黑体"/>
          <w:color w:val="000000"/>
          <w:sz w:val="32"/>
        </w:rPr>
        <w:t>第二部分：百色起义纪念碑园2025年度部门决算报表</w:t>
      </w:r>
    </w:p>
    <w:p w14:paraId="35ED6AC2">
      <w:pPr>
        <w:spacing w:line="560" w:lineRule="exact"/>
        <w:ind w:firstLine="364" w:firstLineChars="114"/>
        <w:jc w:val="left"/>
      </w:pPr>
      <w:r>
        <w:rPr>
          <w:rFonts w:ascii="仿宋_GB2312" w:hAnsi="仿宋_GB2312" w:eastAsia="仿宋_GB2312" w:cs="仿宋_GB2312"/>
          <w:color w:val="000000"/>
          <w:sz w:val="32"/>
        </w:rPr>
        <w:t>表一：收入支出决算总表</w:t>
      </w:r>
    </w:p>
    <w:p w14:paraId="1AC6B913">
      <w:pPr>
        <w:spacing w:line="560" w:lineRule="exact"/>
        <w:ind w:firstLine="364" w:firstLineChars="114"/>
        <w:jc w:val="left"/>
      </w:pPr>
      <w:r>
        <w:rPr>
          <w:rFonts w:ascii="仿宋_GB2312" w:hAnsi="仿宋_GB2312" w:eastAsia="仿宋_GB2312" w:cs="仿宋_GB2312"/>
          <w:color w:val="000000"/>
          <w:sz w:val="32"/>
        </w:rPr>
        <w:t>表二：收入决算表</w:t>
      </w:r>
    </w:p>
    <w:p w14:paraId="2595A6F2">
      <w:pPr>
        <w:spacing w:line="560" w:lineRule="exact"/>
        <w:ind w:firstLine="364" w:firstLineChars="114"/>
        <w:jc w:val="left"/>
      </w:pPr>
      <w:r>
        <w:rPr>
          <w:rFonts w:ascii="仿宋_GB2312" w:hAnsi="仿宋_GB2312" w:eastAsia="仿宋_GB2312" w:cs="仿宋_GB2312"/>
          <w:color w:val="000000"/>
          <w:sz w:val="32"/>
        </w:rPr>
        <w:t>表三：支出决算表</w:t>
      </w:r>
    </w:p>
    <w:p w14:paraId="5B70290A">
      <w:pPr>
        <w:spacing w:line="560" w:lineRule="exact"/>
        <w:ind w:firstLine="364" w:firstLineChars="114"/>
        <w:jc w:val="left"/>
      </w:pPr>
      <w:r>
        <w:rPr>
          <w:rFonts w:ascii="仿宋_GB2312" w:hAnsi="仿宋_GB2312" w:eastAsia="仿宋_GB2312" w:cs="仿宋_GB2312"/>
          <w:color w:val="000000"/>
          <w:sz w:val="32"/>
        </w:rPr>
        <w:t>表四：财政拨款收入支出决算总表</w:t>
      </w:r>
    </w:p>
    <w:p w14:paraId="1AD965E0">
      <w:pPr>
        <w:spacing w:line="560" w:lineRule="exact"/>
        <w:ind w:firstLine="364" w:firstLineChars="114"/>
        <w:jc w:val="left"/>
      </w:pPr>
      <w:r>
        <w:rPr>
          <w:rFonts w:ascii="仿宋_GB2312" w:hAnsi="仿宋_GB2312" w:eastAsia="仿宋_GB2312" w:cs="仿宋_GB2312"/>
          <w:color w:val="000000"/>
          <w:sz w:val="32"/>
        </w:rPr>
        <w:t>表五：一般公共预算财政拨款支出决算表</w:t>
      </w:r>
    </w:p>
    <w:p w14:paraId="2704CCFA">
      <w:pPr>
        <w:spacing w:line="560" w:lineRule="exact"/>
        <w:ind w:firstLine="364" w:firstLineChars="114"/>
        <w:jc w:val="left"/>
      </w:pPr>
      <w:r>
        <w:rPr>
          <w:rFonts w:ascii="仿宋_GB2312" w:hAnsi="仿宋_GB2312" w:eastAsia="仿宋_GB2312" w:cs="仿宋_GB2312"/>
          <w:color w:val="000000"/>
          <w:sz w:val="32"/>
        </w:rPr>
        <w:t>表六：一般公共预算财政拨款基本支出决算明细表</w:t>
      </w:r>
    </w:p>
    <w:p w14:paraId="6CA58503">
      <w:pPr>
        <w:spacing w:line="560" w:lineRule="exact"/>
        <w:ind w:firstLine="364" w:firstLineChars="114"/>
        <w:jc w:val="left"/>
      </w:pPr>
      <w:r>
        <w:rPr>
          <w:rFonts w:ascii="仿宋_GB2312" w:hAnsi="仿宋_GB2312" w:eastAsia="仿宋_GB2312" w:cs="仿宋_GB2312"/>
          <w:color w:val="000000"/>
          <w:sz w:val="32"/>
        </w:rPr>
        <w:t>表七：政府性基金预算财政拨款收入支出决算表</w:t>
      </w:r>
    </w:p>
    <w:p w14:paraId="11D6197B">
      <w:pPr>
        <w:spacing w:line="560" w:lineRule="exact"/>
        <w:ind w:firstLine="364" w:firstLineChars="114"/>
        <w:jc w:val="left"/>
      </w:pPr>
      <w:r>
        <w:rPr>
          <w:rFonts w:ascii="仿宋_GB2312" w:hAnsi="仿宋_GB2312" w:eastAsia="仿宋_GB2312" w:cs="仿宋_GB2312"/>
          <w:color w:val="000000"/>
          <w:sz w:val="32"/>
        </w:rPr>
        <w:t>表八：国有资本经营预算财政拨款支出决算表</w:t>
      </w:r>
    </w:p>
    <w:p w14:paraId="1A841B33">
      <w:pPr>
        <w:spacing w:line="560" w:lineRule="exact"/>
        <w:ind w:firstLine="364" w:firstLineChars="114"/>
        <w:jc w:val="left"/>
      </w:pPr>
      <w:r>
        <w:rPr>
          <w:rFonts w:ascii="仿宋_GB2312" w:hAnsi="仿宋_GB2312" w:eastAsia="仿宋_GB2312" w:cs="仿宋_GB2312"/>
          <w:color w:val="000000"/>
          <w:sz w:val="32"/>
        </w:rPr>
        <w:t>表九：财政拨款“三公”经费支出决算表</w:t>
      </w:r>
    </w:p>
    <w:p w14:paraId="4DE93C6F">
      <w:pPr>
        <w:spacing w:line="560" w:lineRule="exact"/>
        <w:ind w:firstLine="364" w:firstLineChars="114"/>
        <w:jc w:val="left"/>
      </w:pPr>
      <w:r>
        <w:rPr>
          <w:rFonts w:ascii="黑体" w:hAnsi="黑体" w:eastAsia="黑体" w:cs="黑体"/>
          <w:color w:val="000000"/>
          <w:sz w:val="32"/>
        </w:rPr>
        <w:t>第三部分：百色起义纪念碑园2025年度部门决算情况说明</w:t>
      </w:r>
    </w:p>
    <w:p w14:paraId="2D288CB3">
      <w:pPr>
        <w:spacing w:line="560" w:lineRule="exact"/>
        <w:ind w:firstLine="364" w:firstLineChars="114"/>
        <w:jc w:val="left"/>
      </w:pPr>
      <w:r>
        <w:rPr>
          <w:rFonts w:ascii="仿宋_GB2312" w:hAnsi="仿宋_GB2312" w:eastAsia="仿宋_GB2312" w:cs="仿宋_GB2312"/>
          <w:color w:val="000000"/>
          <w:sz w:val="32"/>
        </w:rPr>
        <w:t>一、2025年度收入支出决算总体情况。</w:t>
      </w:r>
    </w:p>
    <w:p w14:paraId="008AFBFC">
      <w:pPr>
        <w:spacing w:line="560" w:lineRule="exact"/>
        <w:ind w:firstLine="364" w:firstLineChars="114"/>
        <w:jc w:val="left"/>
      </w:pPr>
      <w:r>
        <w:rPr>
          <w:rFonts w:ascii="仿宋_GB2312" w:hAnsi="仿宋_GB2312" w:eastAsia="仿宋_GB2312" w:cs="仿宋_GB2312"/>
          <w:color w:val="000000"/>
          <w:sz w:val="32"/>
        </w:rPr>
        <w:t>二、2025年度一般公共预算财政拨款支出决算情况。</w:t>
      </w:r>
    </w:p>
    <w:p w14:paraId="6904B02D">
      <w:pPr>
        <w:spacing w:line="560" w:lineRule="exact"/>
        <w:ind w:firstLine="364" w:firstLineChars="114"/>
        <w:jc w:val="left"/>
      </w:pPr>
      <w:r>
        <w:rPr>
          <w:rFonts w:ascii="仿宋_GB2312" w:hAnsi="仿宋_GB2312" w:eastAsia="仿宋_GB2312" w:cs="仿宋_GB2312"/>
          <w:color w:val="000000"/>
          <w:sz w:val="32"/>
        </w:rPr>
        <w:t>三、2025年度一般公共预算财政拨款基本支出决算情况说明。</w:t>
      </w:r>
    </w:p>
    <w:p w14:paraId="470AA5D2">
      <w:pPr>
        <w:spacing w:line="560" w:lineRule="exact"/>
        <w:ind w:firstLine="364" w:firstLineChars="114"/>
        <w:jc w:val="left"/>
      </w:pPr>
      <w:r>
        <w:rPr>
          <w:rFonts w:ascii="仿宋_GB2312" w:hAnsi="仿宋_GB2312" w:eastAsia="仿宋_GB2312" w:cs="仿宋_GB2312"/>
          <w:color w:val="000000"/>
          <w:sz w:val="32"/>
        </w:rPr>
        <w:t>四、2025年度政府性基金支出决算情况。</w:t>
      </w:r>
    </w:p>
    <w:p w14:paraId="0FA7FE0D">
      <w:pPr>
        <w:spacing w:line="560" w:lineRule="exact"/>
        <w:ind w:firstLine="364" w:firstLineChars="114"/>
        <w:jc w:val="left"/>
      </w:pPr>
      <w:r>
        <w:rPr>
          <w:rFonts w:ascii="仿宋_GB2312" w:hAnsi="仿宋_GB2312" w:eastAsia="仿宋_GB2312" w:cs="仿宋_GB2312"/>
          <w:color w:val="000000"/>
          <w:sz w:val="32"/>
        </w:rPr>
        <w:t>五、2025年度国有资本经营预算支出决算情况。</w:t>
      </w:r>
    </w:p>
    <w:p w14:paraId="0B0B515D">
      <w:pPr>
        <w:spacing w:line="560" w:lineRule="exact"/>
        <w:ind w:firstLine="364" w:firstLineChars="114"/>
        <w:jc w:val="left"/>
      </w:pPr>
      <w:r>
        <w:rPr>
          <w:rFonts w:ascii="仿宋_GB2312" w:hAnsi="仿宋_GB2312" w:eastAsia="仿宋_GB2312" w:cs="仿宋_GB2312"/>
          <w:color w:val="000000"/>
          <w:sz w:val="32"/>
        </w:rPr>
        <w:t>六、财政拨款安排的“三公”经费支出决算情况说明。</w:t>
      </w:r>
    </w:p>
    <w:p w14:paraId="79645083">
      <w:pPr>
        <w:spacing w:line="560" w:lineRule="exact"/>
        <w:ind w:firstLine="364" w:firstLineChars="114"/>
        <w:jc w:val="left"/>
      </w:pPr>
      <w:r>
        <w:rPr>
          <w:rFonts w:ascii="仿宋_GB2312" w:hAnsi="仿宋_GB2312" w:eastAsia="仿宋_GB2312" w:cs="仿宋_GB2312"/>
          <w:color w:val="000000"/>
          <w:sz w:val="32"/>
        </w:rPr>
        <w:t>七、其他重要事项情况说明。</w:t>
      </w:r>
    </w:p>
    <w:p w14:paraId="3BFDC5C1">
      <w:pPr>
        <w:spacing w:line="560" w:lineRule="exact"/>
        <w:ind w:firstLine="364" w:firstLineChars="114"/>
        <w:jc w:val="left"/>
      </w:pPr>
      <w:r>
        <w:rPr>
          <w:rFonts w:ascii="仿宋_GB2312" w:hAnsi="仿宋_GB2312" w:eastAsia="仿宋_GB2312" w:cs="仿宋_GB2312"/>
          <w:color w:val="000000"/>
          <w:sz w:val="32"/>
        </w:rPr>
        <w:t>八、预算绩效管理工作开展情况。</w:t>
      </w:r>
    </w:p>
    <w:p w14:paraId="393035CC">
      <w:pPr>
        <w:spacing w:line="560" w:lineRule="exact"/>
        <w:ind w:firstLine="364" w:firstLineChars="114"/>
        <w:jc w:val="left"/>
      </w:pPr>
      <w:r>
        <w:rPr>
          <w:rFonts w:ascii="黑体" w:hAnsi="黑体" w:eastAsia="黑体" w:cs="黑体"/>
          <w:color w:val="000000"/>
          <w:sz w:val="32"/>
        </w:rPr>
        <w:t>第四部分：名词解释</w:t>
      </w:r>
    </w:p>
    <w:p w14:paraId="502DE654">
      <w:pPr>
        <w:pageBreakBefore/>
        <w:spacing w:line="560" w:lineRule="exact"/>
        <w:jc w:val="center"/>
      </w:pPr>
      <w:r>
        <w:rPr>
          <w:rFonts w:ascii="黑体" w:hAnsi="黑体" w:eastAsia="黑体" w:cs="黑体"/>
          <w:color w:val="000000"/>
          <w:sz w:val="32"/>
        </w:rPr>
        <w:t>第一部分：百色起义纪念碑园 概况</w:t>
      </w:r>
    </w:p>
    <w:p w14:paraId="2B3E690D">
      <w:pPr>
        <w:spacing w:line="560" w:lineRule="exact"/>
        <w:ind w:firstLine="364" w:firstLineChars="114"/>
        <w:jc w:val="left"/>
      </w:pPr>
      <w:r>
        <w:rPr>
          <w:rFonts w:ascii="黑体" w:hAnsi="黑体" w:eastAsia="黑体" w:cs="黑体"/>
          <w:color w:val="000000"/>
          <w:sz w:val="32"/>
        </w:rPr>
        <w:t>一、本部门职责</w:t>
      </w:r>
    </w:p>
    <w:p w14:paraId="6E4EF32F">
      <w:pPr>
        <w:spacing w:line="560" w:lineRule="exact"/>
        <w:ind w:firstLine="640" w:firstLineChars="200"/>
        <w:jc w:val="both"/>
      </w:pPr>
      <w:r>
        <w:rPr>
          <w:rFonts w:ascii="仿宋_GB2312" w:hAnsi="仿宋_GB2312" w:eastAsia="仿宋_GB2312" w:cs="仿宋_GB2312"/>
          <w:color w:val="000000"/>
          <w:sz w:val="32"/>
        </w:rPr>
        <w:t>纪念先烈，教育人民。负责百色起义纪念碑园和78名外省籍革命烈士公墓的日常管理；负责烈士纪念设施维护、园林建设和环境美化；负责纪念缅怀、红色研学活动的组织、接待、服务及相关工作。</w:t>
      </w:r>
    </w:p>
    <w:p w14:paraId="24ABB08E">
      <w:pPr>
        <w:spacing w:line="560" w:lineRule="exact"/>
        <w:ind w:firstLine="239" w:firstLineChars="114"/>
        <w:jc w:val="left"/>
      </w:pPr>
    </w:p>
    <w:p w14:paraId="2949AAE1">
      <w:pPr>
        <w:spacing w:line="560" w:lineRule="exact"/>
        <w:ind w:firstLine="364" w:firstLineChars="114"/>
        <w:jc w:val="left"/>
      </w:pPr>
      <w:r>
        <w:rPr>
          <w:rFonts w:ascii="黑体" w:hAnsi="黑体" w:eastAsia="黑体" w:cs="黑体"/>
          <w:color w:val="000000"/>
          <w:sz w:val="32"/>
        </w:rPr>
        <w:t>二、机构设置情况</w:t>
      </w:r>
    </w:p>
    <w:p w14:paraId="78D95843">
      <w:pPr>
        <w:spacing w:line="560" w:lineRule="exact"/>
        <w:ind w:firstLine="640" w:firstLineChars="200"/>
        <w:jc w:val="both"/>
      </w:pPr>
      <w:r>
        <w:rPr>
          <w:rFonts w:ascii="仿宋_GB2312" w:hAnsi="仿宋_GB2312" w:eastAsia="仿宋_GB2312" w:cs="仿宋_GB2312"/>
          <w:color w:val="000000"/>
          <w:sz w:val="32"/>
        </w:rPr>
        <w:t>百色起义纪念碑园为百色起义纪念园管理中心下属正科级非参照公务员管理全额事业单位，单位内设有办公室、财务室、社教部、园容部。</w:t>
      </w:r>
    </w:p>
    <w:p w14:paraId="746A3A1A">
      <w:pPr>
        <w:pageBreakBefore/>
        <w:spacing w:line="560" w:lineRule="exact"/>
        <w:jc w:val="center"/>
      </w:pPr>
      <w:r>
        <w:rPr>
          <w:rFonts w:ascii="黑体" w:hAnsi="黑体" w:eastAsia="黑体" w:cs="黑体"/>
          <w:color w:val="000000"/>
          <w:sz w:val="32"/>
        </w:rPr>
        <w:t>第二部分：百色起义纪念碑园2025年度部门决算报表</w:t>
      </w:r>
    </w:p>
    <w:p w14:paraId="54955639">
      <w:pPr>
        <w:spacing w:line="560" w:lineRule="exact"/>
        <w:ind w:firstLine="640" w:firstLineChars="200"/>
        <w:jc w:val="both"/>
      </w:pPr>
      <w:r>
        <w:rPr>
          <w:rFonts w:ascii="仿宋_GB2312" w:hAnsi="仿宋_GB2312" w:eastAsia="仿宋_GB2312" w:cs="仿宋_GB2312"/>
          <w:color w:val="000000"/>
          <w:sz w:val="32"/>
        </w:rPr>
        <w:t>表一：收入支出决算总表</w:t>
      </w:r>
    </w:p>
    <w:p w14:paraId="6406DFB9">
      <w:pPr>
        <w:spacing w:line="560" w:lineRule="exact"/>
        <w:ind w:firstLine="640" w:firstLineChars="200"/>
        <w:jc w:val="both"/>
      </w:pPr>
      <w:r>
        <w:rPr>
          <w:rFonts w:ascii="仿宋_GB2312" w:hAnsi="仿宋_GB2312" w:eastAsia="仿宋_GB2312" w:cs="仿宋_GB2312"/>
          <w:color w:val="000000"/>
          <w:sz w:val="32"/>
        </w:rPr>
        <w:t>表二：收入决算表</w:t>
      </w:r>
    </w:p>
    <w:p w14:paraId="12AF0EF3">
      <w:pPr>
        <w:spacing w:line="560" w:lineRule="exact"/>
        <w:ind w:firstLine="640" w:firstLineChars="200"/>
        <w:jc w:val="both"/>
      </w:pPr>
      <w:r>
        <w:rPr>
          <w:rFonts w:ascii="仿宋_GB2312" w:hAnsi="仿宋_GB2312" w:eastAsia="仿宋_GB2312" w:cs="仿宋_GB2312"/>
          <w:color w:val="000000"/>
          <w:sz w:val="32"/>
        </w:rPr>
        <w:t>表三：支出决算表</w:t>
      </w:r>
    </w:p>
    <w:p w14:paraId="40FD71B5">
      <w:pPr>
        <w:spacing w:line="560" w:lineRule="exact"/>
        <w:ind w:firstLine="640" w:firstLineChars="200"/>
        <w:jc w:val="both"/>
      </w:pPr>
      <w:r>
        <w:rPr>
          <w:rFonts w:ascii="仿宋_GB2312" w:hAnsi="仿宋_GB2312" w:eastAsia="仿宋_GB2312" w:cs="仿宋_GB2312"/>
          <w:color w:val="000000"/>
          <w:sz w:val="32"/>
        </w:rPr>
        <w:t>表四：财政拨款收入支出决算总表</w:t>
      </w:r>
    </w:p>
    <w:p w14:paraId="1E7B5301">
      <w:pPr>
        <w:spacing w:line="560" w:lineRule="exact"/>
        <w:ind w:firstLine="640" w:firstLineChars="200"/>
        <w:jc w:val="both"/>
      </w:pPr>
      <w:r>
        <w:rPr>
          <w:rFonts w:ascii="仿宋_GB2312" w:hAnsi="仿宋_GB2312" w:eastAsia="仿宋_GB2312" w:cs="仿宋_GB2312"/>
          <w:color w:val="000000"/>
          <w:sz w:val="32"/>
        </w:rPr>
        <w:t>表五：一般公共预算财政拨款支出决算表</w:t>
      </w:r>
    </w:p>
    <w:p w14:paraId="18C39535">
      <w:pPr>
        <w:spacing w:line="560" w:lineRule="exact"/>
        <w:ind w:firstLine="640" w:firstLineChars="200"/>
        <w:jc w:val="both"/>
      </w:pPr>
      <w:r>
        <w:rPr>
          <w:rFonts w:ascii="仿宋_GB2312" w:hAnsi="仿宋_GB2312" w:eastAsia="仿宋_GB2312" w:cs="仿宋_GB2312"/>
          <w:color w:val="000000"/>
          <w:sz w:val="32"/>
        </w:rPr>
        <w:t>表六：一般公共预算财政拨款基本支出决算明细表</w:t>
      </w:r>
    </w:p>
    <w:p w14:paraId="5292B8D2">
      <w:pPr>
        <w:spacing w:line="560" w:lineRule="exact"/>
        <w:ind w:firstLine="640" w:firstLineChars="200"/>
        <w:jc w:val="both"/>
      </w:pPr>
      <w:r>
        <w:rPr>
          <w:rFonts w:ascii="仿宋_GB2312" w:hAnsi="仿宋_GB2312" w:eastAsia="仿宋_GB2312" w:cs="仿宋_GB2312"/>
          <w:color w:val="000000"/>
          <w:sz w:val="32"/>
        </w:rPr>
        <w:t>表七：政府性基金预算财政拨款收入支出决算表</w:t>
      </w:r>
    </w:p>
    <w:p w14:paraId="3ACDBC29">
      <w:pPr>
        <w:spacing w:line="560" w:lineRule="exact"/>
        <w:ind w:firstLine="640" w:firstLineChars="200"/>
        <w:jc w:val="both"/>
      </w:pPr>
      <w:r>
        <w:rPr>
          <w:rFonts w:ascii="仿宋_GB2312" w:hAnsi="仿宋_GB2312" w:eastAsia="仿宋_GB2312" w:cs="仿宋_GB2312"/>
          <w:color w:val="000000"/>
          <w:sz w:val="32"/>
        </w:rPr>
        <w:t>表八：国有资本经营预算财政拨款支出决算表</w:t>
      </w:r>
    </w:p>
    <w:p w14:paraId="66B3C082">
      <w:pPr>
        <w:spacing w:line="560" w:lineRule="exact"/>
        <w:ind w:firstLine="640" w:firstLineChars="200"/>
        <w:jc w:val="both"/>
      </w:pPr>
      <w:r>
        <w:rPr>
          <w:rFonts w:ascii="仿宋_GB2312" w:hAnsi="仿宋_GB2312" w:eastAsia="仿宋_GB2312" w:cs="仿宋_GB2312"/>
          <w:color w:val="000000"/>
          <w:sz w:val="32"/>
        </w:rPr>
        <w:t>表九：财政拨款“三公”经费支出决算表</w:t>
      </w:r>
    </w:p>
    <w:p w14:paraId="76B6441D">
      <w:pPr>
        <w:spacing w:line="560" w:lineRule="exact"/>
        <w:ind w:firstLine="640" w:firstLineChars="200"/>
        <w:jc w:val="both"/>
      </w:pPr>
      <w:r>
        <w:rPr>
          <w:rFonts w:ascii="仿宋_GB2312" w:hAnsi="仿宋_GB2312" w:eastAsia="仿宋_GB2312" w:cs="仿宋_GB2312"/>
          <w:color w:val="000000"/>
          <w:sz w:val="32"/>
        </w:rPr>
        <w:t>（上述报表详见附件：百色起义纪念碑园2025年度部门决算公开附表）</w:t>
      </w:r>
    </w:p>
    <w:p w14:paraId="2578A93F">
      <w:pPr>
        <w:pageBreakBefore/>
        <w:spacing w:line="560" w:lineRule="exact"/>
        <w:jc w:val="center"/>
      </w:pPr>
      <w:r>
        <w:rPr>
          <w:rFonts w:ascii="黑体" w:hAnsi="黑体" w:eastAsia="黑体" w:cs="黑体"/>
          <w:color w:val="000000"/>
          <w:sz w:val="32"/>
        </w:rPr>
        <w:t>第三部分：2025年百色起义纪念碑园决算情况说明</w:t>
      </w:r>
    </w:p>
    <w:p w14:paraId="1FB5DF20">
      <w:pPr>
        <w:spacing w:line="560" w:lineRule="exact"/>
        <w:ind w:firstLine="640" w:firstLineChars="200"/>
        <w:jc w:val="left"/>
      </w:pPr>
      <w:r>
        <w:rPr>
          <w:rFonts w:ascii="黑体" w:hAnsi="黑体" w:eastAsia="黑体" w:cs="黑体"/>
          <w:color w:val="000000"/>
          <w:sz w:val="32"/>
        </w:rPr>
        <w:t>一、2025年度收入支出决算总体情况</w:t>
      </w:r>
    </w:p>
    <w:p w14:paraId="6E0921AD">
      <w:pPr>
        <w:spacing w:line="560" w:lineRule="exact"/>
        <w:ind w:firstLine="640" w:firstLineChars="200"/>
        <w:jc w:val="both"/>
      </w:pPr>
      <w:r>
        <w:rPr>
          <w:rFonts w:ascii="仿宋_GB2312" w:hAnsi="仿宋_GB2312" w:eastAsia="仿宋_GB2312" w:cs="仿宋_GB2312"/>
          <w:color w:val="000000"/>
          <w:sz w:val="32"/>
        </w:rPr>
        <w:t>（一）本部门2025年度总收入166.61万元，其中本年收入160.90万元，较2024年度决算数209.35万元，减少48.45万元，下降23.14%。收入具体情况如下：</w:t>
      </w:r>
    </w:p>
    <w:p w14:paraId="6D11CB5B">
      <w:pPr>
        <w:spacing w:line="560" w:lineRule="exact"/>
        <w:ind w:firstLine="640" w:firstLineChars="200"/>
        <w:jc w:val="both"/>
      </w:pPr>
      <w:r>
        <w:rPr>
          <w:rFonts w:ascii="仿宋_GB2312" w:hAnsi="仿宋_GB2312" w:eastAsia="仿宋_GB2312" w:cs="仿宋_GB2312"/>
          <w:color w:val="000000"/>
          <w:sz w:val="32"/>
        </w:rPr>
        <w:t>1.一般公共预算财政拨款收入146.57万元，为市本级财政当年拨付的资金。较2024年度决算数146.54万元，增加0.03万元，增长0.02%，主要原因是人员正常增资调薪。</w:t>
      </w:r>
    </w:p>
    <w:p w14:paraId="62702634">
      <w:pPr>
        <w:spacing w:line="560" w:lineRule="exact"/>
        <w:ind w:firstLine="640" w:firstLineChars="200"/>
        <w:jc w:val="both"/>
      </w:pPr>
      <w:r>
        <w:rPr>
          <w:rFonts w:ascii="仿宋_GB2312" w:hAnsi="仿宋_GB2312" w:eastAsia="仿宋_GB2312" w:cs="仿宋_GB2312"/>
          <w:color w:val="000000"/>
          <w:sz w:val="32"/>
        </w:rPr>
        <w:t>2.政府性基金预算财政拨款收入0万元，为百色市本级财政当年拨付的资金。较2024年度决算数46.00万元，减少46.00万元，主要原因是上年度有政府性基金项目支出，本年度无此类项目。</w:t>
      </w:r>
    </w:p>
    <w:p w14:paraId="206387BE">
      <w:pPr>
        <w:spacing w:line="560" w:lineRule="exact"/>
        <w:ind w:firstLine="640" w:firstLineChars="200"/>
        <w:jc w:val="both"/>
      </w:pPr>
      <w:r>
        <w:rPr>
          <w:rFonts w:ascii="仿宋_GB2312" w:hAnsi="仿宋_GB2312" w:eastAsia="仿宋_GB2312" w:cs="仿宋_GB2312"/>
          <w:color w:val="000000"/>
          <w:sz w:val="32"/>
        </w:rPr>
        <w:t>3.国有资本经营预算财政拨款收入0万元，为百色市本级财政当年拨付的资金。与上年持平，主要原因是本部门本年度无该项收入。</w:t>
      </w:r>
    </w:p>
    <w:p w14:paraId="049E6A4B">
      <w:pPr>
        <w:spacing w:line="560" w:lineRule="exact"/>
        <w:ind w:firstLine="640" w:firstLineChars="200"/>
        <w:jc w:val="both"/>
      </w:pPr>
      <w:r>
        <w:rPr>
          <w:rFonts w:ascii="仿宋_GB2312" w:hAnsi="仿宋_GB2312" w:eastAsia="仿宋_GB2312" w:cs="仿宋_GB2312"/>
          <w:color w:val="000000"/>
          <w:sz w:val="32"/>
        </w:rPr>
        <w:t>4.上级补助收入0.00万元，为事业单位当年从主管部门和上级单位收到或应收的非财政拨款收入。与上年持平，主要原因是本部门本年度无该项收入。</w:t>
      </w:r>
    </w:p>
    <w:p w14:paraId="13785E06">
      <w:pPr>
        <w:spacing w:line="560" w:lineRule="exact"/>
        <w:ind w:firstLine="640" w:firstLineChars="200"/>
        <w:jc w:val="both"/>
      </w:pPr>
      <w:r>
        <w:rPr>
          <w:rFonts w:ascii="仿宋_GB2312" w:hAnsi="仿宋_GB2312" w:eastAsia="仿宋_GB2312" w:cs="仿宋_GB2312"/>
          <w:color w:val="000000"/>
          <w:sz w:val="32"/>
        </w:rPr>
        <w:t>5.事业收入0.00万元，为事业单位开展业务活动取得的收入。与上年持平，主要原因是本部门本年度无该项收入。</w:t>
      </w:r>
    </w:p>
    <w:p w14:paraId="5EE8F009">
      <w:pPr>
        <w:spacing w:line="560" w:lineRule="exact"/>
        <w:ind w:firstLine="640" w:firstLineChars="200"/>
        <w:jc w:val="both"/>
      </w:pPr>
      <w:r>
        <w:rPr>
          <w:rFonts w:ascii="仿宋_GB2312" w:hAnsi="仿宋_GB2312" w:eastAsia="仿宋_GB2312" w:cs="仿宋_GB2312"/>
          <w:color w:val="000000"/>
          <w:sz w:val="32"/>
        </w:rPr>
        <w:t>6.经营收入0.00万元，为事业单位在业务活动之外开展非独立核算经营活动取得的收入。与上年持平，主要原因是本部门本年度无该项收入。</w:t>
      </w:r>
    </w:p>
    <w:p w14:paraId="4554BB41">
      <w:pPr>
        <w:spacing w:line="560" w:lineRule="exact"/>
        <w:ind w:firstLine="640" w:firstLineChars="200"/>
        <w:jc w:val="both"/>
      </w:pPr>
      <w:r>
        <w:rPr>
          <w:rFonts w:ascii="仿宋_GB2312" w:hAnsi="仿宋_GB2312" w:eastAsia="仿宋_GB2312" w:cs="仿宋_GB2312"/>
          <w:color w:val="000000"/>
          <w:sz w:val="32"/>
        </w:rPr>
        <w:t>7.其他收入14.33万元，为预算单位在“财政拨款收入”“事业收入”“经营收入”之外取得的收入。较2024年度决算数16.81万元，减少2.48万元，下降14.75%，主要原因是园区瞻仰接待服务收入较上年有所减少。</w:t>
      </w:r>
    </w:p>
    <w:p w14:paraId="67CA565E">
      <w:pPr>
        <w:spacing w:line="560" w:lineRule="exact"/>
        <w:ind w:firstLine="640" w:firstLineChars="200"/>
        <w:jc w:val="both"/>
      </w:pPr>
      <w:r>
        <w:rPr>
          <w:rFonts w:ascii="仿宋_GB2312" w:hAnsi="仿宋_GB2312" w:eastAsia="仿宋_GB2312" w:cs="仿宋_GB2312"/>
          <w:color w:val="000000"/>
          <w:sz w:val="32"/>
        </w:rPr>
        <w:t>8.使用非财政拨款结余0万元，主要是所属事业单位在当年的“财政拨款收入”“事业收入”“经营收入”及“其他收入”不能保证其支出的情况下，使用以前年度积累的非财政拨款结余弥补本年度收支缺口的资金。与上年持平，主要原因是本部门本年度无使用非财政拨款结余。</w:t>
      </w:r>
    </w:p>
    <w:p w14:paraId="69883EC9">
      <w:pPr>
        <w:spacing w:line="560" w:lineRule="exact"/>
        <w:ind w:firstLine="640" w:firstLineChars="200"/>
        <w:jc w:val="both"/>
      </w:pPr>
      <w:r>
        <w:rPr>
          <w:rFonts w:ascii="仿宋_GB2312" w:hAnsi="仿宋_GB2312" w:eastAsia="仿宋_GB2312" w:cs="仿宋_GB2312"/>
          <w:color w:val="000000"/>
          <w:sz w:val="32"/>
        </w:rPr>
        <w:t>9.上年结转和结余5.72万元，为以前年度支出预算因客观条件变化未执行完毕、结转到本年度按有关规定继续使用的资金。较2024年度决算数4.33万元，增加1.39万元，增长32.10%，主要原因是收到市退役军人事务局划转的纪念碑园护栏修缮维护经费结转下一年度使用。</w:t>
      </w:r>
    </w:p>
    <w:p w14:paraId="346AD55F">
      <w:pPr>
        <w:spacing w:line="560" w:lineRule="exact"/>
        <w:ind w:firstLine="640" w:firstLineChars="200"/>
        <w:jc w:val="both"/>
      </w:pPr>
      <w:r>
        <w:rPr>
          <w:rFonts w:ascii="仿宋_GB2312" w:hAnsi="仿宋_GB2312" w:eastAsia="仿宋_GB2312" w:cs="仿宋_GB2312"/>
          <w:color w:val="000000"/>
          <w:sz w:val="32"/>
        </w:rPr>
        <w:t>（二）本部门2025年度总支出166.61万元，其中本年支出162.29万元，较2024年度决算数213.69万元，减少51.40万元，下降24.05%。支出具体情况如下：</w:t>
      </w:r>
    </w:p>
    <w:p w14:paraId="5118C39A">
      <w:pPr>
        <w:spacing w:line="560" w:lineRule="exact"/>
        <w:ind w:firstLine="640" w:firstLineChars="200"/>
        <w:jc w:val="both"/>
      </w:pPr>
      <w:r>
        <w:rPr>
          <w:rFonts w:ascii="仿宋_GB2312" w:hAnsi="仿宋_GB2312" w:eastAsia="仿宋_GB2312" w:cs="仿宋_GB2312"/>
          <w:color w:val="000000"/>
          <w:sz w:val="32"/>
        </w:rPr>
        <w:t>1.社会保障和就业支出（类)149.82万元，主要用于园区日常运转支出。较2024年度决算数156.73万元，减少6.91万元，下降4.41%，主要原因是2024年度实施了烈士纪念设施修缮改造项目，2025年度无此类项目支出。</w:t>
      </w:r>
    </w:p>
    <w:p w14:paraId="1D1BD77E">
      <w:pPr>
        <w:spacing w:line="560" w:lineRule="exact"/>
        <w:ind w:firstLine="640" w:firstLineChars="200"/>
        <w:jc w:val="both"/>
      </w:pPr>
      <w:r>
        <w:rPr>
          <w:rFonts w:ascii="仿宋_GB2312" w:hAnsi="仿宋_GB2312" w:eastAsia="仿宋_GB2312" w:cs="仿宋_GB2312"/>
          <w:color w:val="000000"/>
          <w:sz w:val="32"/>
        </w:rPr>
        <w:t>2.卫生健康支出（类)4.82万元，主要用于缴纳职工医疗保险。较2024年度决算数4.13万元，增加0.69万元，增长16.71%，主要原因是职工医疗保险缴费基数提高。</w:t>
      </w:r>
    </w:p>
    <w:p w14:paraId="3DE7F010">
      <w:pPr>
        <w:spacing w:line="560" w:lineRule="exact"/>
        <w:ind w:firstLine="640" w:firstLineChars="200"/>
        <w:jc w:val="both"/>
      </w:pPr>
      <w:r>
        <w:rPr>
          <w:rFonts w:ascii="仿宋_GB2312" w:hAnsi="仿宋_GB2312" w:eastAsia="仿宋_GB2312" w:cs="仿宋_GB2312"/>
          <w:color w:val="000000"/>
          <w:sz w:val="32"/>
        </w:rPr>
        <w:t>3.城乡社区支出（类)0万元，较2024年度决算数46.00万元，减少46.00万元，主要原因是单位本年度无该项支出。</w:t>
      </w:r>
    </w:p>
    <w:p w14:paraId="663EA027">
      <w:pPr>
        <w:spacing w:line="560" w:lineRule="exact"/>
        <w:ind w:firstLine="640" w:firstLineChars="200"/>
        <w:jc w:val="both"/>
      </w:pPr>
      <w:r>
        <w:rPr>
          <w:rFonts w:ascii="仿宋_GB2312" w:hAnsi="仿宋_GB2312" w:eastAsia="仿宋_GB2312" w:cs="仿宋_GB2312"/>
          <w:color w:val="000000"/>
          <w:sz w:val="32"/>
        </w:rPr>
        <w:t>4.住房保障支出（类)7.65万元，主要用于缴纳职工住房公积金。较2024年度决算数6.83万元，增加0.82万元，增长12.01%，主要原因是职工住房公积金缴存基数调整。</w:t>
      </w:r>
    </w:p>
    <w:p w14:paraId="4C96DEA6">
      <w:pPr>
        <w:spacing w:line="560" w:lineRule="exact"/>
        <w:ind w:firstLine="420" w:firstLineChars="200"/>
        <w:jc w:val="both"/>
      </w:pPr>
    </w:p>
    <w:p w14:paraId="2985D209">
      <w:pPr>
        <w:spacing w:line="560" w:lineRule="exact"/>
        <w:ind w:firstLine="640" w:firstLineChars="200"/>
        <w:jc w:val="left"/>
      </w:pPr>
      <w:r>
        <w:rPr>
          <w:rFonts w:ascii="黑体" w:hAnsi="黑体" w:eastAsia="黑体" w:cs="黑体"/>
          <w:color w:val="000000"/>
          <w:sz w:val="32"/>
        </w:rPr>
        <w:t>二、2025年度一般公共预算财政拨款支出决算情况</w:t>
      </w:r>
    </w:p>
    <w:p w14:paraId="3E7C46C1">
      <w:pPr>
        <w:spacing w:line="560" w:lineRule="exact"/>
        <w:ind w:firstLine="640" w:firstLineChars="200"/>
        <w:jc w:val="both"/>
      </w:pPr>
      <w:r>
        <w:rPr>
          <w:rFonts w:ascii="仿宋_GB2312" w:hAnsi="仿宋_GB2312" w:eastAsia="仿宋_GB2312" w:cs="仿宋_GB2312"/>
          <w:color w:val="000000"/>
          <w:sz w:val="32"/>
        </w:rPr>
        <w:t>百色起义纪念碑园2025年度一般公共预算财政拨款支出146.57万元，较2024年度决算数146.54万元，增加0.03万元，增长0.02%。其中：基本支出114.79万元，项目支出31.78万元。</w:t>
      </w:r>
    </w:p>
    <w:p w14:paraId="32ED1435">
      <w:pPr>
        <w:spacing w:line="560" w:lineRule="exact"/>
        <w:ind w:firstLine="640" w:firstLineChars="200"/>
        <w:jc w:val="both"/>
      </w:pPr>
      <w:r>
        <w:rPr>
          <w:rFonts w:ascii="仿宋_GB2312" w:hAnsi="仿宋_GB2312" w:eastAsia="仿宋_GB2312" w:cs="仿宋_GB2312"/>
          <w:color w:val="000000"/>
          <w:sz w:val="32"/>
        </w:rPr>
        <w:t>百色起义纪念碑园2025年度一般公共预算财政拨款支出年初预算为127.08万元，支出决算为146.57万元，完成年初预算的115.34%。</w:t>
      </w:r>
    </w:p>
    <w:p w14:paraId="6372F440">
      <w:pPr>
        <w:spacing w:line="560" w:lineRule="exact"/>
        <w:ind w:firstLine="640" w:firstLineChars="200"/>
        <w:jc w:val="both"/>
      </w:pPr>
      <w:r>
        <w:rPr>
          <w:rFonts w:ascii="仿宋_GB2312" w:hAnsi="仿宋_GB2312" w:eastAsia="仿宋_GB2312" w:cs="仿宋_GB2312"/>
          <w:color w:val="000000"/>
          <w:sz w:val="32"/>
        </w:rPr>
        <w:t>（一）社会保障和就业支出（类）年初预算为116.32万元，决算数为134.10万元。</w:t>
      </w:r>
    </w:p>
    <w:p w14:paraId="564ED2AA">
      <w:pPr>
        <w:spacing w:line="560" w:lineRule="exact"/>
        <w:ind w:firstLine="640" w:firstLineChars="200"/>
        <w:jc w:val="both"/>
      </w:pPr>
      <w:r>
        <w:rPr>
          <w:rFonts w:ascii="仿宋_GB2312" w:hAnsi="仿宋_GB2312" w:eastAsia="仿宋_GB2312" w:cs="仿宋_GB2312"/>
          <w:color w:val="000000"/>
          <w:sz w:val="32"/>
        </w:rPr>
        <w:t>1.社会保障和就业支出（类）行政事业单位养老支出（款）事业单位离退休（项）年初预算为5.87万元，决算数为5.87万元，完成预算的100.00%，主要用于本单位退休人员生活保障等相关支出。</w:t>
      </w:r>
    </w:p>
    <w:p w14:paraId="02DFA158">
      <w:pPr>
        <w:spacing w:line="560" w:lineRule="exact"/>
        <w:ind w:firstLine="640" w:firstLineChars="200"/>
        <w:jc w:val="both"/>
      </w:pPr>
      <w:r>
        <w:rPr>
          <w:rFonts w:ascii="仿宋_GB2312" w:hAnsi="仿宋_GB2312" w:eastAsia="仿宋_GB2312" w:cs="仿宋_GB2312"/>
          <w:color w:val="000000"/>
          <w:sz w:val="32"/>
        </w:rPr>
        <w:t>2.社会保障和就业支出（类）行政事业单位养老支出（款）机关事业单位基本养老保险缴费支出（项）年初预算为10.29万元，决算数为10.38万元，完成预算的100.87%，主要用于缴纳职工养老保险，支出决算大于预算数的主要原因是缴费基数调整较预算有所增加。</w:t>
      </w:r>
    </w:p>
    <w:p w14:paraId="70BA241D">
      <w:pPr>
        <w:spacing w:line="560" w:lineRule="exact"/>
        <w:ind w:firstLine="640" w:firstLineChars="200"/>
        <w:jc w:val="both"/>
      </w:pPr>
      <w:r>
        <w:rPr>
          <w:rFonts w:ascii="仿宋_GB2312" w:hAnsi="仿宋_GB2312" w:eastAsia="仿宋_GB2312" w:cs="仿宋_GB2312"/>
          <w:color w:val="000000"/>
          <w:sz w:val="32"/>
        </w:rPr>
        <w:t>3.社会保障和就业支出（类）行政事业单位养老支出（款）机关事业单位职业年金缴费支出（项）年初预算为5.14万元，决算数为5.19万元，完成预算的100.97%，主要用于缴纳职工职业年金，支出决算大于预算数的主要原因是缴费基数调整较预算有所增加。</w:t>
      </w:r>
    </w:p>
    <w:p w14:paraId="396AEF6D">
      <w:pPr>
        <w:spacing w:line="560" w:lineRule="exact"/>
        <w:ind w:firstLine="640" w:firstLineChars="200"/>
        <w:jc w:val="both"/>
      </w:pPr>
      <w:r>
        <w:rPr>
          <w:rFonts w:ascii="仿宋_GB2312" w:hAnsi="仿宋_GB2312" w:eastAsia="仿宋_GB2312" w:cs="仿宋_GB2312"/>
          <w:color w:val="000000"/>
          <w:sz w:val="32"/>
        </w:rPr>
        <w:t>4.社会保障和就业支出（类）抚恤（款）烈士纪念设施管理维护（项）年初预算为0万元，决算数为0.73万元，主要用于支付纪念碑园纪念设施修缮项目质保金，支出决算大于预算数的主要原因是以前年度项目质保金结转至本年使用并安排支付。</w:t>
      </w:r>
    </w:p>
    <w:p w14:paraId="49CA21C1">
      <w:pPr>
        <w:spacing w:line="560" w:lineRule="exact"/>
        <w:ind w:firstLine="640" w:firstLineChars="200"/>
        <w:jc w:val="both"/>
      </w:pPr>
      <w:r>
        <w:rPr>
          <w:rFonts w:ascii="仿宋_GB2312" w:hAnsi="仿宋_GB2312" w:eastAsia="仿宋_GB2312" w:cs="仿宋_GB2312"/>
          <w:color w:val="000000"/>
          <w:sz w:val="32"/>
        </w:rPr>
        <w:t>5.社会保障和就业支出（类）抚恤（款）其他优抚支出（项）年初预算为95.03万元，决算数为110.89万元，完成预算的116.69%，主要用于人员经费及园区日常运转维护支出，支出决算大于预算数的主要原因是年中指标缺口追加。</w:t>
      </w:r>
    </w:p>
    <w:p w14:paraId="182FC078">
      <w:pPr>
        <w:spacing w:line="560" w:lineRule="exact"/>
        <w:ind w:firstLine="640" w:firstLineChars="200"/>
        <w:jc w:val="both"/>
      </w:pPr>
      <w:r>
        <w:rPr>
          <w:rFonts w:ascii="仿宋_GB2312" w:hAnsi="仿宋_GB2312" w:eastAsia="仿宋_GB2312" w:cs="仿宋_GB2312"/>
          <w:color w:val="000000"/>
          <w:sz w:val="32"/>
        </w:rPr>
        <w:t>6.社会保障和就业支出（类）其他社会保障和就业支出（款）其他社会保障和就业支出（项）年初预算为0万元，决算数为1.05万元，主要用于职业年金贴息记实，支出决算大于预算数的主要原因是年中新增项目追加指标。</w:t>
      </w:r>
    </w:p>
    <w:p w14:paraId="0CE5DD8C">
      <w:pPr>
        <w:spacing w:line="560" w:lineRule="exact"/>
        <w:ind w:firstLine="640" w:firstLineChars="200"/>
        <w:jc w:val="both"/>
      </w:pPr>
      <w:r>
        <w:rPr>
          <w:rFonts w:ascii="仿宋_GB2312" w:hAnsi="仿宋_GB2312" w:eastAsia="仿宋_GB2312" w:cs="仿宋_GB2312"/>
          <w:color w:val="000000"/>
          <w:sz w:val="32"/>
        </w:rPr>
        <w:t>（二）卫生健康支出（类）年初预算为3.04万元，决算数为4.82万元。</w:t>
      </w:r>
    </w:p>
    <w:p w14:paraId="6A3622DD">
      <w:pPr>
        <w:spacing w:line="560" w:lineRule="exact"/>
        <w:ind w:firstLine="640" w:firstLineChars="200"/>
        <w:jc w:val="both"/>
      </w:pPr>
      <w:r>
        <w:rPr>
          <w:rFonts w:ascii="仿宋_GB2312" w:hAnsi="仿宋_GB2312" w:eastAsia="仿宋_GB2312" w:cs="仿宋_GB2312"/>
          <w:color w:val="000000"/>
          <w:sz w:val="32"/>
        </w:rPr>
        <w:t>1.卫生健康支出（类）行政事业单位医疗（款）事业单位医疗（项）年初预算为3.04万元，决算数为4.82万元，完成预算的158.55%，主要用于缴纳职工医疗、工伤保险，支出决算大于预算数的主要原因是缴费基数调整较预算有所增加。</w:t>
      </w:r>
    </w:p>
    <w:p w14:paraId="7894ED88">
      <w:pPr>
        <w:spacing w:line="560" w:lineRule="exact"/>
        <w:ind w:firstLine="640" w:firstLineChars="200"/>
        <w:jc w:val="both"/>
      </w:pPr>
      <w:r>
        <w:rPr>
          <w:rFonts w:ascii="仿宋_GB2312" w:hAnsi="仿宋_GB2312" w:eastAsia="仿宋_GB2312" w:cs="仿宋_GB2312"/>
          <w:color w:val="000000"/>
          <w:sz w:val="32"/>
        </w:rPr>
        <w:t>（三）住房保障支出（类）年初预算为7.72万元，决算数为7.65万元。</w:t>
      </w:r>
    </w:p>
    <w:p w14:paraId="53BC21C5">
      <w:pPr>
        <w:spacing w:line="560" w:lineRule="exact"/>
        <w:ind w:firstLine="640" w:firstLineChars="200"/>
        <w:jc w:val="both"/>
      </w:pPr>
      <w:r>
        <w:rPr>
          <w:rFonts w:ascii="仿宋_GB2312" w:hAnsi="仿宋_GB2312" w:eastAsia="仿宋_GB2312" w:cs="仿宋_GB2312"/>
          <w:color w:val="000000"/>
          <w:sz w:val="32"/>
        </w:rPr>
        <w:t>1.住房保障支出（类）住房改革支出（款）住房公积金（项）年初预算为7.72万元，决算数为7.65万元，完成预算的99.09%，主要用于缴纳职工住房公积金，支出决算小于预算数的主要原因是缴存基数调整，实际执行数低于年初预算安排。</w:t>
      </w:r>
    </w:p>
    <w:p w14:paraId="086037F4">
      <w:pPr>
        <w:spacing w:line="560" w:lineRule="exact"/>
        <w:ind w:firstLine="420" w:firstLineChars="200"/>
        <w:jc w:val="both"/>
      </w:pPr>
    </w:p>
    <w:p w14:paraId="6C7134B6">
      <w:pPr>
        <w:spacing w:line="560" w:lineRule="exact"/>
        <w:ind w:firstLine="640" w:firstLineChars="200"/>
        <w:jc w:val="left"/>
      </w:pPr>
      <w:r>
        <w:rPr>
          <w:rFonts w:ascii="黑体" w:hAnsi="黑体" w:eastAsia="黑体" w:cs="黑体"/>
          <w:color w:val="000000"/>
          <w:sz w:val="32"/>
        </w:rPr>
        <w:t>三、2025年度一般公共预算财政拨款基本支出决算情况说明</w:t>
      </w:r>
    </w:p>
    <w:p w14:paraId="400C5118">
      <w:pPr>
        <w:spacing w:line="560" w:lineRule="exact"/>
        <w:ind w:firstLine="640" w:firstLineChars="200"/>
        <w:jc w:val="both"/>
      </w:pPr>
      <w:r>
        <w:rPr>
          <w:rFonts w:ascii="仿宋_GB2312" w:hAnsi="仿宋_GB2312" w:eastAsia="仿宋_GB2312" w:cs="仿宋_GB2312"/>
          <w:color w:val="000000"/>
          <w:sz w:val="32"/>
        </w:rPr>
        <w:t>2025年度一般公共预算财政拨款基本支出114.79万元，其中：人员经费108.34万元，公用经费6.45万元，支出具体情况如下：</w:t>
      </w:r>
    </w:p>
    <w:p w14:paraId="50C58AB5">
      <w:pPr>
        <w:spacing w:line="560" w:lineRule="exact"/>
        <w:ind w:firstLine="640" w:firstLineChars="200"/>
        <w:jc w:val="both"/>
      </w:pPr>
      <w:r>
        <w:rPr>
          <w:rFonts w:ascii="仿宋_GB2312" w:hAnsi="仿宋_GB2312" w:eastAsia="仿宋_GB2312" w:cs="仿宋_GB2312"/>
          <w:color w:val="000000"/>
          <w:sz w:val="32"/>
        </w:rPr>
        <w:t>（一）工资福利支出年初预算为84.62万元，决算数为102.56万元，完成年初预算的121.20%。主要用于职工工资薪酬及福利支出。决算数大于预算数的主要原因是人员正常增资调薪。</w:t>
      </w:r>
    </w:p>
    <w:p w14:paraId="28B91F46">
      <w:pPr>
        <w:spacing w:line="560" w:lineRule="exact"/>
        <w:ind w:firstLine="640" w:firstLineChars="200"/>
        <w:jc w:val="both"/>
      </w:pPr>
      <w:r>
        <w:rPr>
          <w:rFonts w:ascii="仿宋_GB2312" w:hAnsi="仿宋_GB2312" w:eastAsia="仿宋_GB2312" w:cs="仿宋_GB2312"/>
          <w:color w:val="000000"/>
          <w:sz w:val="32"/>
        </w:rPr>
        <w:t>（二）商品和服务支出年初预算为6.68万元，决算数为6.45万元，完成年初预算的96.56%。主要用于定额公用经费支出。决算数小于预算数的主要原因是严格控制公用经费支出，部分经费未实际发生。</w:t>
      </w:r>
    </w:p>
    <w:p w14:paraId="21731684">
      <w:pPr>
        <w:spacing w:line="560" w:lineRule="exact"/>
        <w:ind w:firstLine="640" w:firstLineChars="200"/>
        <w:jc w:val="both"/>
      </w:pPr>
      <w:r>
        <w:rPr>
          <w:rFonts w:ascii="仿宋_GB2312" w:hAnsi="仿宋_GB2312" w:eastAsia="仿宋_GB2312" w:cs="仿宋_GB2312"/>
          <w:color w:val="000000"/>
          <w:sz w:val="32"/>
        </w:rPr>
        <w:t>（三）对个人和家庭的补助年初预算为5.79万元，决算数为5.79万元，完成年初预算的100.00%。主要用于退休人员生活保障等相关支出。预决算数据持平，无差异。</w:t>
      </w:r>
    </w:p>
    <w:p w14:paraId="6B9CC2DC">
      <w:pPr>
        <w:spacing w:line="560" w:lineRule="exact"/>
        <w:ind w:firstLine="420" w:firstLineChars="200"/>
        <w:jc w:val="both"/>
      </w:pPr>
    </w:p>
    <w:p w14:paraId="6BBCB529">
      <w:pPr>
        <w:spacing w:line="560" w:lineRule="exact"/>
        <w:ind w:firstLine="640" w:firstLineChars="200"/>
        <w:jc w:val="left"/>
      </w:pPr>
      <w:r>
        <w:rPr>
          <w:rFonts w:ascii="黑体" w:hAnsi="黑体" w:eastAsia="黑体" w:cs="黑体"/>
          <w:color w:val="000000"/>
          <w:sz w:val="32"/>
        </w:rPr>
        <w:t>四、2025年度政府性基金支出决算情况</w:t>
      </w:r>
    </w:p>
    <w:p w14:paraId="3D72CD72">
      <w:pPr>
        <w:spacing w:line="560" w:lineRule="exact"/>
        <w:ind w:firstLine="640" w:firstLineChars="200"/>
        <w:jc w:val="both"/>
      </w:pPr>
      <w:r>
        <w:rPr>
          <w:rFonts w:ascii="仿宋_GB2312" w:hAnsi="仿宋_GB2312" w:eastAsia="仿宋_GB2312" w:cs="仿宋_GB2312"/>
          <w:color w:val="000000"/>
          <w:sz w:val="32"/>
        </w:rPr>
        <w:t>2025年度政府性基金支出0万元，较2024年度决算数46.00万元，减少46.00万元，主要原因是：本年度未安排政府性基金相关支出。其中：基本支出0万元，项目支出0万元。</w:t>
      </w:r>
    </w:p>
    <w:p w14:paraId="29DB0182">
      <w:pPr>
        <w:spacing w:line="560" w:lineRule="exact"/>
        <w:ind w:firstLine="640" w:firstLineChars="200"/>
        <w:jc w:val="both"/>
      </w:pPr>
      <w:r>
        <w:rPr>
          <w:rFonts w:ascii="仿宋_GB2312" w:hAnsi="仿宋_GB2312" w:eastAsia="仿宋_GB2312" w:cs="仿宋_GB2312"/>
          <w:color w:val="000000"/>
          <w:sz w:val="32"/>
        </w:rPr>
        <w:t>百色起义纪念碑园2025年度政府性基金支出年初预算为0万元，支出决算为0万元。</w:t>
      </w:r>
    </w:p>
    <w:p w14:paraId="13DB2BE1">
      <w:pPr>
        <w:spacing w:line="560" w:lineRule="exact"/>
        <w:ind w:firstLine="420" w:firstLineChars="200"/>
        <w:jc w:val="both"/>
      </w:pPr>
    </w:p>
    <w:p w14:paraId="61EF1962">
      <w:pPr>
        <w:spacing w:line="560" w:lineRule="exact"/>
        <w:ind w:firstLine="640" w:firstLineChars="200"/>
        <w:jc w:val="left"/>
      </w:pPr>
      <w:r>
        <w:rPr>
          <w:rFonts w:ascii="黑体" w:hAnsi="黑体" w:eastAsia="黑体" w:cs="黑体"/>
          <w:color w:val="000000"/>
          <w:sz w:val="32"/>
        </w:rPr>
        <w:t>五、2025年度国有资本经营预算支出决算情况</w:t>
      </w:r>
    </w:p>
    <w:p w14:paraId="667134FC">
      <w:pPr>
        <w:spacing w:line="560" w:lineRule="exact"/>
        <w:ind w:firstLine="640" w:firstLineChars="200"/>
        <w:jc w:val="both"/>
      </w:pPr>
      <w:r>
        <w:rPr>
          <w:rFonts w:ascii="仿宋_GB2312" w:hAnsi="仿宋_GB2312" w:eastAsia="仿宋_GB2312" w:cs="仿宋_GB2312"/>
          <w:color w:val="000000"/>
          <w:sz w:val="32"/>
        </w:rPr>
        <w:t>2025年度国有资本经营预算支出0万元，较2024年度决算数0万元，对比无数据差异。其中：基本支出0万元，项目支出0万元。</w:t>
      </w:r>
    </w:p>
    <w:p w14:paraId="10D12304">
      <w:pPr>
        <w:spacing w:line="560" w:lineRule="exact"/>
        <w:ind w:firstLine="640" w:firstLineChars="200"/>
        <w:jc w:val="both"/>
      </w:pPr>
      <w:r>
        <w:rPr>
          <w:rFonts w:ascii="仿宋_GB2312" w:hAnsi="仿宋_GB2312" w:eastAsia="仿宋_GB2312" w:cs="仿宋_GB2312"/>
          <w:color w:val="000000"/>
          <w:sz w:val="32"/>
        </w:rPr>
        <w:t>2025年度国有资本经营预算支出年初预算为0万元，支出决算为0万元，预决算数据对比无差异。</w:t>
      </w:r>
    </w:p>
    <w:p w14:paraId="48907718">
      <w:pPr>
        <w:spacing w:line="560" w:lineRule="exact"/>
        <w:ind w:firstLine="640" w:firstLineChars="200"/>
        <w:jc w:val="both"/>
      </w:pPr>
      <w:r>
        <w:rPr>
          <w:rFonts w:ascii="仿宋_GB2312" w:hAnsi="仿宋_GB2312" w:eastAsia="仿宋_GB2312" w:cs="仿宋_GB2312"/>
          <w:color w:val="000000"/>
          <w:sz w:val="32"/>
        </w:rPr>
        <w:t>百色起义纪念碑园2025年度没有国有资本经营预算财政拨款收入，也没有国有资本经营预算财政拨款安排的支出，故无数据情况说明。</w:t>
      </w:r>
    </w:p>
    <w:p w14:paraId="203B9A34">
      <w:pPr>
        <w:spacing w:line="560" w:lineRule="exact"/>
        <w:ind w:firstLine="640" w:firstLineChars="200"/>
        <w:jc w:val="left"/>
      </w:pPr>
      <w:r>
        <w:rPr>
          <w:rFonts w:ascii="黑体" w:hAnsi="黑体" w:eastAsia="黑体" w:cs="黑体"/>
          <w:color w:val="000000"/>
          <w:sz w:val="32"/>
        </w:rPr>
        <w:t>六、财政拨款安排的“三公”经费支出决算情况说明</w:t>
      </w:r>
    </w:p>
    <w:p w14:paraId="41F087B9">
      <w:pPr>
        <w:spacing w:line="560" w:lineRule="exact"/>
        <w:ind w:firstLine="640" w:firstLineChars="200"/>
        <w:jc w:val="both"/>
      </w:pPr>
      <w:r>
        <w:rPr>
          <w:rFonts w:ascii="仿宋_GB2312" w:hAnsi="仿宋_GB2312" w:eastAsia="仿宋_GB2312" w:cs="仿宋_GB2312"/>
          <w:color w:val="000000"/>
          <w:sz w:val="32"/>
        </w:rPr>
        <w:t>2025年度财政拨款安排的“三公”经费支出决算数0万元，年初预算数0万元，较2024决算数0万元，增加0万元，</w:t>
      </w:r>
    </w:p>
    <w:p w14:paraId="6F08AB9C">
      <w:pPr>
        <w:spacing w:line="560" w:lineRule="exact"/>
        <w:ind w:firstLine="640" w:firstLineChars="200"/>
        <w:jc w:val="both"/>
      </w:pPr>
      <w:r>
        <w:rPr>
          <w:rFonts w:ascii="仿宋_GB2312" w:hAnsi="仿宋_GB2312" w:eastAsia="仿宋_GB2312" w:cs="仿宋_GB2312"/>
          <w:color w:val="000000"/>
          <w:sz w:val="32"/>
        </w:rPr>
        <w:t>其中：因公出国（境）费支出决算0万元，公务用车购置及运行维护支出决算数0万元，公务接待支出决算0万元。</w:t>
      </w:r>
    </w:p>
    <w:p w14:paraId="7F3E4BD2">
      <w:pPr>
        <w:spacing w:line="560" w:lineRule="exact"/>
        <w:ind w:firstLine="640" w:firstLineChars="200"/>
        <w:jc w:val="both"/>
      </w:pPr>
      <w:r>
        <w:rPr>
          <w:rFonts w:ascii="仿宋_GB2312" w:hAnsi="仿宋_GB2312" w:eastAsia="仿宋_GB2312" w:cs="仿宋_GB2312"/>
          <w:color w:val="000000"/>
          <w:sz w:val="32"/>
        </w:rPr>
        <w:t>具体情况如下：</w:t>
      </w:r>
    </w:p>
    <w:p w14:paraId="656CD680">
      <w:pPr>
        <w:spacing w:line="560" w:lineRule="exact"/>
        <w:ind w:firstLine="640" w:firstLineChars="200"/>
        <w:jc w:val="both"/>
      </w:pPr>
      <w:r>
        <w:rPr>
          <w:rFonts w:ascii="仿宋_GB2312" w:hAnsi="仿宋_GB2312" w:eastAsia="仿宋_GB2312" w:cs="仿宋_GB2312"/>
          <w:color w:val="000000"/>
          <w:sz w:val="32"/>
        </w:rPr>
        <w:t>（一）因公出国（境）费支出决算0万元，年初预算为0万元，较2024年度增加0万元；全年使用财政拨款安排百色起义纪念碑园出国团组0个，累计0人次。</w:t>
      </w:r>
    </w:p>
    <w:p w14:paraId="70313690">
      <w:pPr>
        <w:spacing w:line="560" w:lineRule="exact"/>
        <w:ind w:firstLine="640" w:firstLineChars="200"/>
        <w:jc w:val="both"/>
      </w:pPr>
      <w:r>
        <w:rPr>
          <w:rFonts w:ascii="仿宋_GB2312" w:hAnsi="仿宋_GB2312" w:eastAsia="仿宋_GB2312" w:cs="仿宋_GB2312"/>
          <w:color w:val="000000"/>
          <w:sz w:val="32"/>
        </w:rPr>
        <w:t>（二）公务用车购置及运行维护费支出0万元。其中：</w:t>
      </w:r>
    </w:p>
    <w:p w14:paraId="6B53AE73">
      <w:pPr>
        <w:spacing w:line="560" w:lineRule="exact"/>
        <w:ind w:firstLine="640" w:firstLineChars="200"/>
        <w:jc w:val="both"/>
      </w:pPr>
      <w:r>
        <w:rPr>
          <w:rFonts w:ascii="仿宋_GB2312" w:hAnsi="仿宋_GB2312" w:eastAsia="仿宋_GB2312" w:cs="仿宋_GB2312"/>
          <w:color w:val="000000"/>
          <w:sz w:val="32"/>
        </w:rPr>
        <w:t>公务用车购置支出0万元，与年初预算对比无差异，与上年度决算数对比持平，无增减变化。百色起义纪念碑园2025年度购置了0辆公务用车。</w:t>
      </w:r>
    </w:p>
    <w:p w14:paraId="3F46F6AF">
      <w:pPr>
        <w:spacing w:line="560" w:lineRule="exact"/>
        <w:ind w:firstLine="640" w:firstLineChars="200"/>
        <w:jc w:val="both"/>
      </w:pPr>
      <w:r>
        <w:rPr>
          <w:rFonts w:ascii="仿宋_GB2312" w:hAnsi="仿宋_GB2312" w:eastAsia="仿宋_GB2312" w:cs="仿宋_GB2312"/>
          <w:color w:val="000000"/>
          <w:sz w:val="32"/>
        </w:rPr>
        <w:t>公务用车运行维护支出0万元，与年初预算对比无差异，与上年度决算数对比持平，无增减变化。</w:t>
      </w:r>
    </w:p>
    <w:p w14:paraId="48DE25A1">
      <w:pPr>
        <w:spacing w:line="560" w:lineRule="exact"/>
        <w:ind w:firstLine="640" w:firstLineChars="200"/>
        <w:jc w:val="both"/>
      </w:pPr>
      <w:r>
        <w:rPr>
          <w:rFonts w:ascii="仿宋_GB2312" w:hAnsi="仿宋_GB2312" w:eastAsia="仿宋_GB2312" w:cs="仿宋_GB2312"/>
          <w:color w:val="000000"/>
          <w:sz w:val="32"/>
        </w:rPr>
        <w:t>2025年百色起义纪念碑园开支财政拨款的公务用车保有量为0辆，全年运行维护支出0万元。</w:t>
      </w:r>
    </w:p>
    <w:p w14:paraId="1A2FCB69">
      <w:pPr>
        <w:spacing w:line="560" w:lineRule="exact"/>
        <w:ind w:firstLine="640" w:firstLineChars="200"/>
        <w:jc w:val="both"/>
      </w:pPr>
      <w:r>
        <w:rPr>
          <w:rFonts w:ascii="仿宋_GB2312" w:hAnsi="仿宋_GB2312" w:eastAsia="仿宋_GB2312" w:cs="仿宋_GB2312"/>
          <w:color w:val="000000"/>
          <w:sz w:val="32"/>
        </w:rPr>
        <w:t>（三）公务接待费支出0万元，年初预算为0万元，较2024年度决算数增加0万元，国内公务接待批次0次，0人次，国（境）外公务接待批次0次，0人次。</w:t>
      </w:r>
    </w:p>
    <w:p w14:paraId="3D0B678F">
      <w:pPr>
        <w:spacing w:line="560" w:lineRule="exact"/>
        <w:ind w:firstLine="640" w:firstLineChars="200"/>
        <w:jc w:val="left"/>
      </w:pPr>
      <w:r>
        <w:rPr>
          <w:rFonts w:ascii="黑体" w:hAnsi="黑体" w:eastAsia="黑体" w:cs="黑体"/>
          <w:color w:val="000000"/>
          <w:sz w:val="32"/>
        </w:rPr>
        <w:t>七、其他重要事项情况说明</w:t>
      </w:r>
    </w:p>
    <w:p w14:paraId="64F1C16C">
      <w:pPr>
        <w:spacing w:line="560" w:lineRule="exact"/>
        <w:ind w:firstLine="640" w:firstLineChars="200"/>
        <w:jc w:val="left"/>
      </w:pPr>
      <w:r>
        <w:rPr>
          <w:rFonts w:ascii="楷体" w:hAnsi="楷体" w:eastAsia="楷体" w:cs="楷体"/>
          <w:color w:val="000000"/>
          <w:sz w:val="32"/>
        </w:rPr>
        <w:t>（一）机关运行经费支出情况说明。</w:t>
      </w:r>
    </w:p>
    <w:p w14:paraId="5BD5E7E1">
      <w:pPr>
        <w:spacing w:line="560" w:lineRule="exact"/>
        <w:ind w:firstLine="640" w:firstLineChars="200"/>
        <w:jc w:val="both"/>
      </w:pPr>
      <w:r>
        <w:rPr>
          <w:rFonts w:ascii="仿宋_GB2312" w:hAnsi="仿宋_GB2312" w:eastAsia="仿宋_GB2312" w:cs="仿宋_GB2312"/>
          <w:color w:val="000000"/>
          <w:sz w:val="32"/>
        </w:rPr>
        <w:t>本部门为事业单位，无机关运行经费支出，故无相关数据情况说明。</w:t>
      </w:r>
    </w:p>
    <w:p w14:paraId="1AA1A217">
      <w:pPr>
        <w:spacing w:line="560" w:lineRule="exact"/>
        <w:ind w:firstLine="640" w:firstLineChars="200"/>
        <w:jc w:val="left"/>
      </w:pPr>
      <w:r>
        <w:rPr>
          <w:rFonts w:ascii="楷体" w:hAnsi="楷体" w:eastAsia="楷体" w:cs="楷体"/>
          <w:color w:val="000000"/>
          <w:sz w:val="32"/>
        </w:rPr>
        <w:t>（二）政府采购支出情况说明。</w:t>
      </w:r>
    </w:p>
    <w:p w14:paraId="28BB2F85">
      <w:pPr>
        <w:spacing w:line="560" w:lineRule="exact"/>
        <w:ind w:firstLine="640" w:firstLineChars="200"/>
        <w:jc w:val="both"/>
      </w:pPr>
      <w:r>
        <w:rPr>
          <w:rFonts w:ascii="仿宋_GB2312" w:hAnsi="仿宋_GB2312" w:eastAsia="仿宋_GB2312" w:cs="仿宋_GB2312"/>
          <w:color w:val="000000"/>
          <w:sz w:val="32"/>
        </w:rPr>
        <w:t>本部门2025年度政府采购支出总额0.16万元，其中：政府采购货物支出0.16万元、政府采购工程支出0万元、政府采购服务支出0万元。授予中小企业合同金额0</w:t>
      </w:r>
      <w:r>
        <w:rPr>
          <w:rFonts w:hint="eastAsia" w:ascii="仿宋_GB2312" w:hAnsi="仿宋_GB2312" w:eastAsia="仿宋_GB2312" w:cs="仿宋_GB2312"/>
          <w:color w:val="000000"/>
          <w:sz w:val="32"/>
          <w:lang w:val="en-US" w:eastAsia="zh-CN"/>
        </w:rPr>
        <w:t>.16</w:t>
      </w:r>
      <w:r>
        <w:rPr>
          <w:rFonts w:ascii="仿宋_GB2312" w:hAnsi="仿宋_GB2312" w:eastAsia="仿宋_GB2312" w:cs="仿宋_GB2312"/>
          <w:color w:val="000000"/>
          <w:sz w:val="32"/>
        </w:rPr>
        <w:t>万元，占政府采购支出总额的</w:t>
      </w:r>
      <w:r>
        <w:rPr>
          <w:rFonts w:hint="eastAsia" w:ascii="仿宋_GB2312" w:hAnsi="仿宋_GB2312" w:eastAsia="仿宋_GB2312" w:cs="仿宋_GB2312"/>
          <w:color w:val="000000"/>
          <w:sz w:val="32"/>
          <w:lang w:val="en-US" w:eastAsia="zh-CN"/>
        </w:rPr>
        <w:t>100</w:t>
      </w:r>
      <w:r>
        <w:rPr>
          <w:rFonts w:ascii="仿宋_GB2312" w:hAnsi="仿宋_GB2312" w:eastAsia="仿宋_GB2312" w:cs="仿宋_GB2312"/>
          <w:color w:val="000000"/>
          <w:sz w:val="32"/>
        </w:rPr>
        <w:t>%，其中：授予小微企业合同金额0万元，占授予中小企业合同金额的0.00%；货物采购授予中小企业合同金额占货物支出金额的100%；工程采购授予中小企业合同金额占工程支出金额的0%；服务采购授予中小企业合同金额占服务支出金额的0%。</w:t>
      </w:r>
      <w:bookmarkStart w:id="0" w:name="_GoBack"/>
      <w:bookmarkEnd w:id="0"/>
    </w:p>
    <w:p w14:paraId="3EA6A1FA">
      <w:pPr>
        <w:spacing w:line="560" w:lineRule="exact"/>
        <w:ind w:firstLine="640" w:firstLineChars="200"/>
        <w:jc w:val="left"/>
      </w:pPr>
      <w:r>
        <w:rPr>
          <w:rFonts w:ascii="楷体" w:hAnsi="楷体" w:eastAsia="楷体" w:cs="楷体"/>
          <w:color w:val="000000"/>
          <w:sz w:val="32"/>
        </w:rPr>
        <w:t>（三）国有资产占用情况说明。</w:t>
      </w:r>
    </w:p>
    <w:p w14:paraId="00D63B60">
      <w:pPr>
        <w:spacing w:line="560" w:lineRule="exact"/>
        <w:ind w:firstLine="640" w:firstLineChars="200"/>
        <w:jc w:val="both"/>
      </w:pPr>
      <w:r>
        <w:rPr>
          <w:rFonts w:ascii="仿宋_GB2312" w:hAnsi="仿宋_GB2312" w:eastAsia="仿宋_GB2312" w:cs="仿宋_GB2312"/>
          <w:color w:val="000000"/>
          <w:sz w:val="32"/>
        </w:rPr>
        <w:t>截至2025年12月31日，本部门共有车辆0辆，其中：副部（省）级领导干部用车0辆、机要通信用车0辆、应急保障用车0辆、执法执勤用车0辆、特种专业技术用车0辆、其他用车0辆。单位价值100万元以上设备（不含车辆）0台（套）。</w:t>
      </w:r>
    </w:p>
    <w:p w14:paraId="511ADC63">
      <w:pPr>
        <w:spacing w:line="560" w:lineRule="exact"/>
        <w:ind w:firstLine="420" w:firstLineChars="200"/>
        <w:jc w:val="both"/>
      </w:pPr>
    </w:p>
    <w:p w14:paraId="41866491">
      <w:pPr>
        <w:spacing w:line="560" w:lineRule="exact"/>
        <w:ind w:firstLine="640" w:firstLineChars="200"/>
        <w:jc w:val="left"/>
      </w:pPr>
      <w:r>
        <w:rPr>
          <w:rFonts w:ascii="黑体" w:hAnsi="黑体" w:eastAsia="黑体" w:cs="黑体"/>
          <w:color w:val="000000"/>
          <w:sz w:val="32"/>
        </w:rPr>
        <w:t>八、预算绩效管理工作开展情况。</w:t>
      </w:r>
    </w:p>
    <w:p w14:paraId="051D4799">
      <w:pPr>
        <w:spacing w:line="560" w:lineRule="exact"/>
        <w:ind w:firstLine="640" w:firstLineChars="200"/>
        <w:jc w:val="both"/>
      </w:pPr>
      <w:r>
        <w:rPr>
          <w:rFonts w:ascii="仿宋_GB2312" w:hAnsi="仿宋_GB2312" w:eastAsia="仿宋_GB2312" w:cs="仿宋_GB2312"/>
          <w:color w:val="000000"/>
          <w:sz w:val="32"/>
        </w:rPr>
        <w:t>1.整体支出绩效自评结果。</w:t>
      </w:r>
    </w:p>
    <w:p w14:paraId="4A0EC002">
      <w:pPr>
        <w:spacing w:line="560" w:lineRule="exact"/>
        <w:ind w:firstLine="640" w:firstLineChars="200"/>
        <w:jc w:val="both"/>
      </w:pPr>
      <w:r>
        <w:rPr>
          <w:rFonts w:ascii="仿宋_GB2312" w:hAnsi="仿宋_GB2312" w:eastAsia="仿宋_GB2312" w:cs="仿宋_GB2312"/>
          <w:color w:val="000000"/>
          <w:sz w:val="32"/>
        </w:rPr>
        <w:t>百色起义纪念碑园本年度未开展整体支出绩效自评。</w:t>
      </w:r>
    </w:p>
    <w:p w14:paraId="4FBDD40C">
      <w:pPr>
        <w:spacing w:line="560" w:lineRule="exact"/>
        <w:ind w:firstLine="640" w:firstLineChars="200"/>
        <w:jc w:val="both"/>
      </w:pPr>
      <w:r>
        <w:rPr>
          <w:rFonts w:ascii="仿宋_GB2312" w:hAnsi="仿宋_GB2312" w:eastAsia="仿宋_GB2312" w:cs="仿宋_GB2312"/>
          <w:color w:val="000000"/>
          <w:sz w:val="32"/>
        </w:rPr>
        <w:t>2.项目支出绩效自评结果。</w:t>
      </w:r>
    </w:p>
    <w:p w14:paraId="67516031">
      <w:pPr>
        <w:spacing w:line="560" w:lineRule="exact"/>
        <w:ind w:firstLine="640" w:firstLineChars="200"/>
        <w:jc w:val="both"/>
      </w:pPr>
      <w:r>
        <w:rPr>
          <w:rFonts w:ascii="仿宋_GB2312" w:hAnsi="仿宋_GB2312" w:eastAsia="仿宋_GB2312" w:cs="仿宋_GB2312"/>
          <w:color w:val="000000"/>
          <w:sz w:val="32"/>
        </w:rPr>
        <w:t>（1）项目绩效自评总体情况：我部门2025年度项目2个，项目支出总额31.05万元。其中，本级项目2个，本级项目支出31.05万元。</w:t>
      </w:r>
    </w:p>
    <w:p w14:paraId="46B16433">
      <w:pPr>
        <w:spacing w:line="560" w:lineRule="exact"/>
        <w:ind w:firstLine="640" w:firstLineChars="200"/>
        <w:jc w:val="both"/>
      </w:pPr>
      <w:r>
        <w:rPr>
          <w:rFonts w:ascii="仿宋_GB2312" w:hAnsi="仿宋_GB2312" w:eastAsia="仿宋_GB2312" w:cs="仿宋_GB2312"/>
          <w:color w:val="000000"/>
          <w:sz w:val="32"/>
        </w:rPr>
        <w:t>所有项目均开展了绩效自评，其中非敏感涉密项目绩效自评结果为：2个项目评为一等，涉及资金31.05万元，占项目总数比例100%；0个项目评为二等，涉及资金0万元，占项目总数比例0%；0个项目评为三等，涉及资金0万元，占项目总数比例0%；0个项目评为四等，涉及资金0万元，占项目总数比例0%。自评发现的主要问题及原因：一是编报绩效目标、指标的科学性和合理性仍需提高；二是管理制度的执行监督，绩效目标佐证材料的收集管理能力仍待加强，下一步改进措施：一是加大绩效目标编制、填报的培训学习力度，提高绩效目标、指标的编报水平；二是继续做好对项目的资金拨付、执行进度、工作质量的跟踪、分析和总结，及时完成绩效佐证材料的收集归档工作。</w:t>
      </w:r>
    </w:p>
    <w:p w14:paraId="7A352942">
      <w:pPr>
        <w:spacing w:line="560" w:lineRule="exact"/>
        <w:ind w:firstLine="640" w:firstLineChars="200"/>
        <w:jc w:val="both"/>
      </w:pPr>
      <w:r>
        <w:rPr>
          <w:rFonts w:ascii="仿宋_GB2312" w:hAnsi="仿宋_GB2312" w:eastAsia="仿宋_GB2312" w:cs="仿宋_GB2312"/>
          <w:color w:val="000000"/>
          <w:sz w:val="32"/>
        </w:rPr>
        <w:t>（2）部分重点项目绩效自评情况：根据年初设定的绩效目标，园区设备、设施日常运转及维修保养项目自评得分为92分，一等，项目全年预算数为30万元，执行数为30万元，完成预算的100%。项目绩效目标完成情况：较好完成园区日常瞻仰接待服务工作，营造优美舒适的瞻仰环境。自评发现的主要问题及原因：年度瞻仰接待服务人数和批次较往年有所减少，预期指标数和实际数有些许偏差。下一步改进措施：定期参加绩效评价业务培训，提升人员数据分析、研判能力，确保指标编制更科学合理。</w:t>
      </w:r>
    </w:p>
    <w:p w14:paraId="5D703DF0">
      <w:pPr>
        <w:spacing w:line="560" w:lineRule="exact"/>
        <w:ind w:firstLine="640" w:firstLineChars="200"/>
        <w:jc w:val="both"/>
      </w:pPr>
      <w:r>
        <w:rPr>
          <w:rFonts w:ascii="仿宋_GB2312" w:hAnsi="仿宋_GB2312" w:eastAsia="仿宋_GB2312" w:cs="仿宋_GB2312"/>
          <w:color w:val="000000"/>
          <w:sz w:val="32"/>
        </w:rPr>
        <w:t>3.部门绩效评价结果。</w:t>
      </w:r>
    </w:p>
    <w:p w14:paraId="30BE053E">
      <w:pPr>
        <w:spacing w:line="560" w:lineRule="exact"/>
        <w:ind w:firstLine="640" w:firstLineChars="200"/>
        <w:jc w:val="both"/>
      </w:pPr>
      <w:r>
        <w:rPr>
          <w:rFonts w:ascii="仿宋_GB2312" w:hAnsi="仿宋_GB2312" w:eastAsia="仿宋_GB2312" w:cs="仿宋_GB2312"/>
          <w:color w:val="000000"/>
          <w:sz w:val="32"/>
        </w:rPr>
        <w:t>本部门2025年度无重点项目支出，故未开展部门绩效评价。</w:t>
      </w:r>
    </w:p>
    <w:p w14:paraId="2117A846">
      <w:pPr>
        <w:spacing w:line="560" w:lineRule="exact"/>
        <w:ind w:firstLine="640" w:firstLineChars="200"/>
        <w:jc w:val="both"/>
      </w:pPr>
      <w:r>
        <w:rPr>
          <w:rFonts w:ascii="仿宋_GB2312" w:hAnsi="仿宋_GB2312" w:eastAsia="仿宋_GB2312" w:cs="仿宋_GB2312"/>
          <w:color w:val="000000"/>
          <w:sz w:val="32"/>
        </w:rPr>
        <w:t>4.财政绩效评价结果。</w:t>
      </w:r>
    </w:p>
    <w:p w14:paraId="4582030A">
      <w:pPr>
        <w:spacing w:line="560" w:lineRule="exact"/>
        <w:ind w:firstLine="640" w:firstLineChars="200"/>
        <w:jc w:val="both"/>
      </w:pPr>
      <w:r>
        <w:rPr>
          <w:rFonts w:ascii="仿宋_GB2312" w:hAnsi="仿宋_GB2312" w:eastAsia="仿宋_GB2312" w:cs="仿宋_GB2312"/>
          <w:color w:val="000000"/>
          <w:sz w:val="32"/>
        </w:rPr>
        <w:t>本部门本年度未开展财政绩效评价项目。</w:t>
      </w:r>
    </w:p>
    <w:p w14:paraId="6D9AD49A">
      <w:pPr>
        <w:spacing w:line="560" w:lineRule="exact"/>
        <w:ind w:firstLine="640" w:firstLineChars="200"/>
        <w:jc w:val="both"/>
      </w:pPr>
      <w:r>
        <w:rPr>
          <w:rFonts w:ascii="仿宋_GB2312" w:hAnsi="仿宋_GB2312" w:eastAsia="仿宋_GB2312" w:cs="仿宋_GB2312"/>
          <w:color w:val="000000"/>
          <w:sz w:val="32"/>
        </w:rPr>
        <w:t>（说明：八、预算绩效管理工作开展情况，资金统计口径均为财政资金。）</w:t>
      </w:r>
    </w:p>
    <w:p w14:paraId="1FA7A0CC">
      <w:pPr>
        <w:pageBreakBefore/>
        <w:spacing w:line="560" w:lineRule="exact"/>
        <w:jc w:val="center"/>
      </w:pPr>
      <w:r>
        <w:rPr>
          <w:rFonts w:ascii="黑体" w:hAnsi="黑体" w:eastAsia="黑体" w:cs="黑体"/>
          <w:b/>
          <w:color w:val="000000"/>
          <w:sz w:val="32"/>
        </w:rPr>
        <w:t>第四部分：名词解释</w:t>
      </w:r>
    </w:p>
    <w:p w14:paraId="79B98670">
      <w:pPr>
        <w:spacing w:line="560" w:lineRule="exact"/>
        <w:ind w:firstLine="640" w:firstLineChars="200"/>
      </w:pPr>
      <w:r>
        <w:rPr>
          <w:rFonts w:ascii="仿宋_GB2312" w:hAnsi="仿宋_GB2312" w:eastAsia="仿宋_GB2312" w:cs="仿宋_GB2312"/>
          <w:color w:val="000000"/>
          <w:sz w:val="32"/>
        </w:rPr>
        <w:t>一、财政拨款收入:指本年度从本级财政单位取得的财政拨款，包括一般公共预算财政拨款、政府性基金预算财政拨款和国有资本经营预算财政拨款。</w:t>
      </w:r>
    </w:p>
    <w:p w14:paraId="244D18C9">
      <w:pPr>
        <w:spacing w:line="560" w:lineRule="exact"/>
        <w:ind w:firstLine="640" w:firstLineChars="200"/>
      </w:pPr>
      <w:r>
        <w:rPr>
          <w:rFonts w:ascii="仿宋_GB2312" w:hAnsi="仿宋_GB2312" w:eastAsia="仿宋_GB2312" w:cs="仿宋_GB2312"/>
          <w:color w:val="000000"/>
          <w:sz w:val="32"/>
        </w:rPr>
        <w:t>二、上级补助收入:指事业单位从主管部门和上级单位取得的非财政补助收入。</w:t>
      </w:r>
    </w:p>
    <w:p w14:paraId="7F4898BB">
      <w:pPr>
        <w:spacing w:line="560" w:lineRule="exact"/>
        <w:ind w:firstLine="640" w:firstLineChars="200"/>
      </w:pPr>
      <w:r>
        <w:rPr>
          <w:rFonts w:ascii="仿宋_GB2312" w:hAnsi="仿宋_GB2312" w:eastAsia="仿宋_GB2312" w:cs="仿宋_GB2312"/>
          <w:color w:val="000000"/>
          <w:sz w:val="32"/>
        </w:rPr>
        <w:t>三、事业收入:指事业单位开展专业业务活动及辅助活动所取得的收入。</w:t>
      </w:r>
    </w:p>
    <w:p w14:paraId="42720F48">
      <w:pPr>
        <w:spacing w:line="560" w:lineRule="exact"/>
        <w:ind w:firstLine="640" w:firstLineChars="200"/>
      </w:pPr>
      <w:r>
        <w:rPr>
          <w:rFonts w:ascii="仿宋_GB2312" w:hAnsi="仿宋_GB2312" w:eastAsia="仿宋_GB2312" w:cs="仿宋_GB2312"/>
          <w:color w:val="000000"/>
          <w:sz w:val="32"/>
        </w:rPr>
        <w:t>四、经营收入:指事业单位在专业业务活动及其辅助活动之外开展非独立核算经营活动取得的收入。</w:t>
      </w:r>
    </w:p>
    <w:p w14:paraId="11F42248">
      <w:pPr>
        <w:spacing w:line="560" w:lineRule="exact"/>
        <w:ind w:firstLine="640" w:firstLineChars="200"/>
      </w:pPr>
      <w:r>
        <w:rPr>
          <w:rFonts w:ascii="仿宋_GB2312" w:hAnsi="仿宋_GB2312" w:eastAsia="仿宋_GB2312" w:cs="仿宋_GB2312"/>
          <w:color w:val="000000"/>
          <w:sz w:val="32"/>
        </w:rPr>
        <w:t>五、附属单位上缴收入:指事业单位附属独立核算单位按照有关规定上缴的收入。</w:t>
      </w:r>
    </w:p>
    <w:p w14:paraId="05C01A1D">
      <w:pPr>
        <w:spacing w:line="560" w:lineRule="exact"/>
        <w:ind w:firstLine="640" w:firstLineChars="200"/>
      </w:pPr>
      <w:r>
        <w:rPr>
          <w:rFonts w:ascii="仿宋_GB2312" w:hAnsi="仿宋_GB2312" w:eastAsia="仿宋_GB2312" w:cs="仿宋_GB2312"/>
          <w:color w:val="000000"/>
          <w:sz w:val="32"/>
        </w:rPr>
        <w:t>六、其他收入:指除上述“财政拨款收入”、“事业收入”、“经营收入”等以外的收入。</w:t>
      </w:r>
    </w:p>
    <w:p w14:paraId="664F3269">
      <w:pPr>
        <w:spacing w:line="560" w:lineRule="exact"/>
        <w:ind w:firstLine="640" w:firstLineChars="200"/>
      </w:pPr>
      <w:r>
        <w:rPr>
          <w:rFonts w:ascii="仿宋_GB2312" w:hAnsi="仿宋_GB2312" w:eastAsia="仿宋_GB2312" w:cs="仿宋_GB2312"/>
          <w:color w:val="000000"/>
          <w:sz w:val="32"/>
        </w:rPr>
        <w:t>七、使用非财政拨款结余（含专用结余）:指事业单位在当年的“财政拨款收入”“事业收入”“经营收入”“其他收入”不足以安排当年支出的情况下，使用非财政拨款结余、专用结余弥补本年度收支缺口的资金。</w:t>
      </w:r>
    </w:p>
    <w:p w14:paraId="3138893F">
      <w:pPr>
        <w:spacing w:line="560" w:lineRule="exact"/>
        <w:ind w:firstLine="640" w:firstLineChars="200"/>
      </w:pPr>
      <w:r>
        <w:rPr>
          <w:rFonts w:ascii="仿宋_GB2312" w:hAnsi="仿宋_GB2312" w:eastAsia="仿宋_GB2312" w:cs="仿宋_GB2312"/>
          <w:color w:val="000000"/>
          <w:sz w:val="32"/>
        </w:rPr>
        <w:t>八、年初结转和结余:指以前年度尚未完成、结转到本年按有关规定继续使用的资金。</w:t>
      </w:r>
    </w:p>
    <w:p w14:paraId="3338E562">
      <w:pPr>
        <w:spacing w:line="560" w:lineRule="exact"/>
        <w:ind w:firstLine="640" w:firstLineChars="200"/>
      </w:pPr>
      <w:r>
        <w:rPr>
          <w:rFonts w:ascii="仿宋_GB2312" w:hAnsi="仿宋_GB2312" w:eastAsia="仿宋_GB2312" w:cs="仿宋_GB2312"/>
          <w:color w:val="000000"/>
          <w:sz w:val="32"/>
        </w:rPr>
        <w:t>九、结余分配:指事业单位按规定提取的职工福利基金、事业基金和缴纳的所得税，以及建设单位按规定应交回的基本建设竣工项目结余资金。</w:t>
      </w:r>
    </w:p>
    <w:p w14:paraId="339E9B10">
      <w:pPr>
        <w:spacing w:line="560" w:lineRule="exact"/>
        <w:ind w:firstLine="640" w:firstLineChars="200"/>
      </w:pPr>
      <w:r>
        <w:rPr>
          <w:rFonts w:ascii="仿宋_GB2312" w:hAnsi="仿宋_GB2312" w:eastAsia="仿宋_GB2312" w:cs="仿宋_GB2312"/>
          <w:color w:val="000000"/>
          <w:sz w:val="32"/>
        </w:rPr>
        <w:t>十、年末结转和结余:指本年度或以前年度预算安排、因客观条件发生变化无法按原计划实施，需要延迟到以后年度按有关规定继续使用的资金。</w:t>
      </w:r>
    </w:p>
    <w:p w14:paraId="6CD0F020">
      <w:pPr>
        <w:spacing w:line="560" w:lineRule="exact"/>
        <w:ind w:firstLine="640" w:firstLineChars="200"/>
      </w:pPr>
      <w:r>
        <w:rPr>
          <w:rFonts w:ascii="仿宋_GB2312" w:hAnsi="仿宋_GB2312" w:eastAsia="仿宋_GB2312" w:cs="仿宋_GB2312"/>
          <w:color w:val="000000"/>
          <w:sz w:val="32"/>
        </w:rPr>
        <w:t>十一、基本支出:指为保障机构正常运转、完成日常工作任务而发生的人员支出和公用支出。</w:t>
      </w:r>
    </w:p>
    <w:p w14:paraId="4B8DD4A2">
      <w:pPr>
        <w:spacing w:line="560" w:lineRule="exact"/>
        <w:ind w:firstLine="640" w:firstLineChars="200"/>
      </w:pPr>
      <w:r>
        <w:rPr>
          <w:rFonts w:ascii="仿宋_GB2312" w:hAnsi="仿宋_GB2312" w:eastAsia="仿宋_GB2312" w:cs="仿宋_GB2312"/>
          <w:color w:val="000000"/>
          <w:sz w:val="32"/>
        </w:rPr>
        <w:t>十二、项目支出:指在基本支出之外为完成特定行政任务和事业发展目标所发生的支出。</w:t>
      </w:r>
    </w:p>
    <w:p w14:paraId="5BD1692A">
      <w:pPr>
        <w:spacing w:line="560" w:lineRule="exact"/>
        <w:ind w:firstLine="640" w:firstLineChars="200"/>
      </w:pPr>
      <w:r>
        <w:rPr>
          <w:rFonts w:ascii="仿宋_GB2312" w:hAnsi="仿宋_GB2312" w:eastAsia="仿宋_GB2312" w:cs="仿宋_GB2312"/>
          <w:color w:val="000000"/>
          <w:sz w:val="32"/>
        </w:rPr>
        <w:t>十三、经营支出:指事业单位在专业业务活动及其辅助活动之外开展非独立核算经营活动所发生的支出。</w:t>
      </w:r>
    </w:p>
    <w:p w14:paraId="141CB798">
      <w:pPr>
        <w:spacing w:line="560" w:lineRule="exact"/>
        <w:ind w:firstLine="640" w:firstLineChars="200"/>
      </w:pPr>
      <w:r>
        <w:rPr>
          <w:rFonts w:ascii="仿宋_GB2312" w:hAnsi="仿宋_GB2312" w:eastAsia="仿宋_GB2312" w:cs="仿宋_GB2312"/>
          <w:color w:val="000000"/>
          <w:sz w:val="32"/>
        </w:rPr>
        <w:t>十四、“三公”经费:按照党中央、国务院有关文件及部门预算管理有关规定，“三公”经费包括因公出国（境）费、公务用车购置及运行维护费和公务接待费。（1）因公出国（境）费，指单位工作人员公务出国（境）的住宿费、旅费、伙食补助费、杂费、培训费等支出。（2）公务用车购置及运行维护费，指单位公务用车购置费（含车辆购置税）及租用费、燃料费、维修费、过路过桥费、保险费等支出。（3）公务接待费，指单位按规定开支的各类公务接待（含外宾接待）支出。</w:t>
      </w:r>
    </w:p>
    <w:p w14:paraId="1753D103">
      <w:pPr>
        <w:spacing w:line="560" w:lineRule="exact"/>
        <w:ind w:firstLine="640" w:firstLineChars="200"/>
      </w:pPr>
      <w:r>
        <w:rPr>
          <w:rFonts w:ascii="仿宋_GB2312" w:hAnsi="仿宋_GB2312" w:eastAsia="仿宋_GB2312" w:cs="仿宋_GB2312"/>
          <w:color w:val="000000"/>
          <w:sz w:val="32"/>
        </w:rPr>
        <w:t>十五、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sectPr>
      <w:headerReference r:id="rId3" w:type="default"/>
      <w:footerReference r:id="rId5" w:type="default"/>
      <w:headerReference r:id="rId4" w:type="even"/>
      <w:footerReference r:id="rId6" w:type="even"/>
      <w:pgSz w:w="11906" w:h="16838"/>
      <w:pgMar w:top="1441" w:right="1799" w:bottom="1441" w:left="1799"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B0985">
    <w:pPr>
      <w:ind w:rightChars="100"/>
      <w:jc w:val="right"/>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PAGE</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5E19E">
    <w:pPr>
      <w:ind w:leftChars="100"/>
      <w:jc w:val="left"/>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PAGE</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E945D">
    <w:pPr>
      <w:spacing w:after="0" w:line="1"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0270C">
    <w:pPr>
      <w:spacing w:after="0" w:line="1"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compat>
    <w:useFELayout/>
    <w:splitPgBreakAndParaMark/>
    <w:compatSetting w:name="compatibilityMode" w:uri="http://schemas.microsoft.com/office/word" w:val="12"/>
  </w:compat>
  <w:rsids>
    <w:rsidRoot w:val="00000000"/>
    <w:rsid w:val="646E61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color w:val="000000"/>
      <w:sz w:val="21"/>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标题1"/>
    <w:basedOn w:val="5"/>
    <w:qFormat/>
    <w:uiPriority w:val="0"/>
    <w:pPr>
      <w:spacing w:line="360" w:lineRule="auto"/>
      <w:jc w:val="center"/>
    </w:pPr>
    <w:rPr>
      <w:rFonts w:ascii="宋体" w:hAnsi="宋体" w:eastAsia="宋体" w:cs="宋体"/>
      <w:b/>
      <w:sz w:val="32"/>
    </w:rPr>
  </w:style>
  <w:style w:type="paragraph" w:customStyle="1" w:styleId="5">
    <w:name w:val="正文1"/>
    <w:qFormat/>
    <w:uiPriority w:val="0"/>
    <w:pPr>
      <w:spacing w:line="240" w:lineRule="auto"/>
    </w:pPr>
    <w:rPr>
      <w:rFonts w:ascii="宋体" w:hAnsi="宋体" w:eastAsia="宋体" w:cs="宋体"/>
      <w:color w:val="000000"/>
      <w:sz w:val="21"/>
    </w:rPr>
  </w:style>
  <w:style w:type="paragraph" w:customStyle="1" w:styleId="6">
    <w:name w:val="标题 11"/>
    <w:basedOn w:val="5"/>
    <w:qFormat/>
    <w:uiPriority w:val="0"/>
    <w:pPr>
      <w:spacing w:line="280" w:lineRule="auto"/>
    </w:pPr>
    <w:rPr>
      <w:rFonts w:ascii="宋体" w:hAnsi="宋体" w:eastAsia="宋体" w:cs="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6043</Words>
  <Characters>6643</Characters>
  <TotalTime>2</TotalTime>
  <ScaleCrop>false</ScaleCrop>
  <LinksUpToDate>false</LinksUpToDate>
  <CharactersWithSpaces>6647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2024-01-01T00:00:00Z</dcterms:created>
  <dc:creator>Joyn Open</dc:creator>
  <cp:lastModifiedBy>Administrator</cp:lastModifiedBy>
  <dcterms:modified xsi:type="dcterms:W3CDTF">2026-09-28T08:55:44Z</dcterms:modified>
  <dc:title>百色起义纪念碑园2025决算</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eyJoZGlkIjoiNjA0N2U0YWQ3Nzc3NzQ5Nzg3ZDRiZWVlNmQ5ZTFmMjMifQ==</vt:lpwstr>
  </property>
  <property fmtid="{D5CDD505-2E9C-101B-9397-08002B2CF9AE}" pid="3" name="KSOProductBuildVer">
    <vt:lpwstr>2052-12.1.0.25222</vt:lpwstr>
  </property>
  <property fmtid="{D5CDD505-2E9C-101B-9397-08002B2CF9AE}" pid="4" name="ICV">
    <vt:lpwstr>0A63F9EAA5E24C1EB7FE883256F91F3C_12</vt:lpwstr>
  </property>
</Properties>
</file>